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14F7" w14:textId="77777777" w:rsidR="003F43C7" w:rsidRDefault="003F43C7" w:rsidP="00364877">
      <w:pPr>
        <w:pStyle w:val="Heading1"/>
        <w:jc w:val="center"/>
        <w:rPr>
          <w:rFonts w:ascii="Times New Roman"/>
        </w:rPr>
        <w:sectPr w:rsidR="003F43C7" w:rsidSect="000E315C">
          <w:headerReference w:type="default" r:id="rId7"/>
          <w:footerReference w:type="default" r:id="rId8"/>
          <w:type w:val="continuous"/>
          <w:pgSz w:w="11910" w:h="16840"/>
          <w:pgMar w:top="140" w:right="566" w:bottom="280" w:left="992" w:header="170" w:footer="340" w:gutter="0"/>
          <w:pgNumType w:start="5"/>
          <w:cols w:num="2" w:space="720" w:equalWidth="0">
            <w:col w:w="1753" w:space="6501"/>
            <w:col w:w="2098"/>
          </w:cols>
          <w:docGrid w:linePitch="299"/>
        </w:sectPr>
      </w:pPr>
    </w:p>
    <w:p w14:paraId="37CA4E6B" w14:textId="4B74B244" w:rsidR="003F43C7" w:rsidRDefault="000E315C" w:rsidP="00364877">
      <w:pPr>
        <w:spacing w:line="281" w:lineRule="exact"/>
        <w:ind w:left="146" w:right="185"/>
        <w:jc w:val="center"/>
        <w:rPr>
          <w:b/>
          <w:sz w:val="24"/>
        </w:rPr>
      </w:pPr>
      <w:bookmarkStart w:id="0" w:name="_GoBack"/>
      <w:r w:rsidRPr="000E315C">
        <w:rPr>
          <w:b/>
          <w:bCs/>
          <w:color w:val="231F20"/>
          <w:sz w:val="24"/>
          <w:szCs w:val="24"/>
        </w:rPr>
        <w:t>Data</w:t>
      </w:r>
      <w:r w:rsidRPr="000E315C">
        <w:rPr>
          <w:b/>
          <w:bCs/>
          <w:color w:val="231F20"/>
          <w:sz w:val="24"/>
          <w:szCs w:val="24"/>
        </w:rPr>
        <w:t>‑</w:t>
      </w:r>
      <w:r w:rsidRPr="000E315C">
        <w:rPr>
          <w:b/>
          <w:bCs/>
          <w:color w:val="231F20"/>
          <w:sz w:val="24"/>
          <w:szCs w:val="24"/>
        </w:rPr>
        <w:t xml:space="preserve">Centric Governance </w:t>
      </w:r>
      <w:bookmarkEnd w:id="0"/>
      <w:proofErr w:type="gramStart"/>
      <w:r w:rsidRPr="000E315C">
        <w:rPr>
          <w:b/>
          <w:bCs/>
          <w:color w:val="231F20"/>
          <w:sz w:val="24"/>
          <w:szCs w:val="24"/>
        </w:rPr>
        <w:t>And</w:t>
      </w:r>
      <w:proofErr w:type="gramEnd"/>
      <w:r w:rsidRPr="000E315C">
        <w:rPr>
          <w:b/>
          <w:bCs/>
          <w:color w:val="231F20"/>
          <w:sz w:val="24"/>
          <w:szCs w:val="24"/>
        </w:rPr>
        <w:t xml:space="preserve"> </w:t>
      </w:r>
      <w:r w:rsidRPr="000E315C">
        <w:rPr>
          <w:b/>
          <w:bCs/>
          <w:color w:val="231F20"/>
          <w:sz w:val="24"/>
          <w:szCs w:val="24"/>
        </w:rPr>
        <w:t xml:space="preserve">Ethical Frameworks </w:t>
      </w:r>
      <w:r w:rsidRPr="000E315C">
        <w:rPr>
          <w:b/>
          <w:bCs/>
          <w:color w:val="231F20"/>
          <w:sz w:val="24"/>
          <w:szCs w:val="24"/>
        </w:rPr>
        <w:t xml:space="preserve">For </w:t>
      </w:r>
      <w:r w:rsidRPr="000E315C">
        <w:rPr>
          <w:b/>
          <w:bCs/>
          <w:color w:val="231F20"/>
          <w:sz w:val="24"/>
          <w:szCs w:val="24"/>
        </w:rPr>
        <w:t xml:space="preserve">Trustworthy AI </w:t>
      </w:r>
      <w:r w:rsidRPr="000E315C">
        <w:rPr>
          <w:b/>
          <w:bCs/>
          <w:color w:val="231F20"/>
          <w:sz w:val="24"/>
          <w:szCs w:val="24"/>
        </w:rPr>
        <w:t xml:space="preserve">And </w:t>
      </w:r>
      <w:r w:rsidRPr="000E315C">
        <w:rPr>
          <w:b/>
          <w:bCs/>
          <w:color w:val="231F20"/>
          <w:sz w:val="24"/>
          <w:szCs w:val="24"/>
        </w:rPr>
        <w:t>Big Data Systems</w:t>
      </w:r>
    </w:p>
    <w:p w14:paraId="6F3223F3" w14:textId="77777777" w:rsidR="003C2510" w:rsidRDefault="003C2510" w:rsidP="00824888">
      <w:pPr>
        <w:pStyle w:val="Heading3"/>
        <w:spacing w:before="123"/>
        <w:ind w:left="146" w:right="184"/>
        <w:rPr>
          <w:color w:val="231F20"/>
          <w:spacing w:val="-2"/>
          <w:sz w:val="20"/>
          <w:szCs w:val="20"/>
        </w:rPr>
      </w:pPr>
    </w:p>
    <w:p w14:paraId="5AC55853" w14:textId="77777777" w:rsidR="003C2510" w:rsidRDefault="003C2510" w:rsidP="003C2510">
      <w:pPr>
        <w:pStyle w:val="Heading3"/>
        <w:ind w:left="146" w:right="184"/>
        <w:rPr>
          <w:color w:val="231F20"/>
          <w:spacing w:val="-2"/>
          <w:sz w:val="20"/>
          <w:szCs w:val="20"/>
        </w:rPr>
      </w:pPr>
    </w:p>
    <w:p w14:paraId="43B55C8D" w14:textId="4F88E416" w:rsidR="001450FA" w:rsidRPr="001450FA" w:rsidRDefault="000E315C" w:rsidP="001450FA">
      <w:pPr>
        <w:pStyle w:val="Heading3"/>
        <w:ind w:left="146" w:right="184"/>
        <w:rPr>
          <w:color w:val="231F20"/>
          <w:spacing w:val="-2"/>
          <w:sz w:val="20"/>
          <w:szCs w:val="20"/>
        </w:rPr>
      </w:pPr>
      <w:r w:rsidRPr="000E315C">
        <w:rPr>
          <w:color w:val="231F20"/>
          <w:spacing w:val="-2"/>
          <w:sz w:val="20"/>
          <w:szCs w:val="20"/>
        </w:rPr>
        <w:t>Dr. Markus Keller</w:t>
      </w:r>
    </w:p>
    <w:p w14:paraId="1FAC66C4" w14:textId="0B6A8E94" w:rsidR="001450FA" w:rsidRPr="001450FA" w:rsidRDefault="001450FA" w:rsidP="001450FA">
      <w:pPr>
        <w:pStyle w:val="Heading3"/>
        <w:ind w:left="146" w:right="184"/>
        <w:rPr>
          <w:color w:val="231F20"/>
          <w:spacing w:val="-2"/>
          <w:sz w:val="20"/>
          <w:szCs w:val="20"/>
        </w:rPr>
      </w:pPr>
      <w:r w:rsidRPr="001450FA">
        <w:rPr>
          <w:color w:val="231F20"/>
          <w:spacing w:val="-2"/>
          <w:sz w:val="20"/>
          <w:szCs w:val="20"/>
        </w:rPr>
        <w:t xml:space="preserve"> </w:t>
      </w:r>
      <w:r w:rsidR="000E315C" w:rsidRPr="000E315C">
        <w:rPr>
          <w:color w:val="231F20"/>
          <w:spacing w:val="-2"/>
          <w:sz w:val="20"/>
          <w:szCs w:val="20"/>
        </w:rPr>
        <w:t>University of Freiburg, Germany</w:t>
      </w:r>
    </w:p>
    <w:p w14:paraId="33EF2301" w14:textId="77777777" w:rsidR="001450FA" w:rsidRPr="001450FA" w:rsidRDefault="001450FA" w:rsidP="001450FA">
      <w:pPr>
        <w:pStyle w:val="Heading3"/>
        <w:ind w:left="146" w:right="184"/>
        <w:rPr>
          <w:color w:val="231F20"/>
          <w:spacing w:val="-2"/>
          <w:sz w:val="20"/>
          <w:szCs w:val="20"/>
        </w:rPr>
      </w:pPr>
    </w:p>
    <w:p w14:paraId="781EA0DF" w14:textId="6C300D0E" w:rsidR="001450FA" w:rsidRPr="001450FA" w:rsidRDefault="000E315C" w:rsidP="001450FA">
      <w:pPr>
        <w:pStyle w:val="Heading3"/>
        <w:ind w:left="146" w:right="184"/>
        <w:rPr>
          <w:color w:val="231F20"/>
          <w:spacing w:val="-2"/>
          <w:sz w:val="20"/>
          <w:szCs w:val="20"/>
        </w:rPr>
      </w:pPr>
      <w:r w:rsidRPr="000E315C">
        <w:rPr>
          <w:color w:val="231F20"/>
          <w:spacing w:val="-2"/>
          <w:sz w:val="20"/>
          <w:szCs w:val="20"/>
        </w:rPr>
        <w:t>Prof. Amina Hassan</w:t>
      </w:r>
    </w:p>
    <w:p w14:paraId="4A0E7E1A" w14:textId="7C5C7ED3" w:rsidR="001450FA" w:rsidRDefault="000E315C" w:rsidP="001450FA">
      <w:pPr>
        <w:pStyle w:val="Heading3"/>
        <w:ind w:left="146" w:right="184"/>
        <w:rPr>
          <w:color w:val="231F20"/>
          <w:spacing w:val="-2"/>
          <w:sz w:val="20"/>
          <w:szCs w:val="20"/>
        </w:rPr>
      </w:pPr>
      <w:r w:rsidRPr="000E315C">
        <w:rPr>
          <w:color w:val="231F20"/>
          <w:spacing w:val="-2"/>
          <w:sz w:val="20"/>
          <w:szCs w:val="20"/>
        </w:rPr>
        <w:t>University of Khartoum, Sudan</w:t>
      </w:r>
    </w:p>
    <w:p w14:paraId="20EE4810" w14:textId="77777777" w:rsidR="00824888" w:rsidRPr="00B67D01" w:rsidRDefault="00824888" w:rsidP="00B21A5C">
      <w:pPr>
        <w:pStyle w:val="Heading3"/>
        <w:spacing w:before="123" w:line="256" w:lineRule="auto"/>
        <w:ind w:left="0" w:right="184"/>
        <w:jc w:val="left"/>
        <w:rPr>
          <w:sz w:val="18"/>
          <w:szCs w:val="18"/>
        </w:rPr>
      </w:pPr>
    </w:p>
    <w:p w14:paraId="4954F3A5" w14:textId="77777777" w:rsidR="00094D0B" w:rsidRDefault="00094D0B" w:rsidP="00094D0B">
      <w:pPr>
        <w:pStyle w:val="Header"/>
      </w:pPr>
    </w:p>
    <w:p w14:paraId="5B13EFD5" w14:textId="08634FE6" w:rsidR="00094D0B" w:rsidRPr="00094D0B" w:rsidRDefault="00094D0B" w:rsidP="00094D0B">
      <w:pPr>
        <w:pStyle w:val="Header"/>
        <w:ind w:left="144"/>
        <w:rPr>
          <w:b/>
          <w:bCs/>
          <w:sz w:val="18"/>
          <w:szCs w:val="18"/>
        </w:rPr>
      </w:pPr>
      <w:r w:rsidRPr="00094D0B">
        <w:rPr>
          <w:b/>
          <w:bCs/>
          <w:sz w:val="18"/>
          <w:szCs w:val="18"/>
        </w:rPr>
        <w:t>V0LUME</w:t>
      </w:r>
      <w:r w:rsidR="00742EF7">
        <w:rPr>
          <w:b/>
          <w:bCs/>
          <w:sz w:val="18"/>
          <w:szCs w:val="18"/>
        </w:rPr>
        <w:t xml:space="preserve"> </w:t>
      </w:r>
      <w:r w:rsidRPr="00094D0B">
        <w:rPr>
          <w:b/>
          <w:bCs/>
          <w:sz w:val="18"/>
          <w:szCs w:val="18"/>
        </w:rPr>
        <w:t>0</w:t>
      </w:r>
      <w:r w:rsidR="00554C19">
        <w:rPr>
          <w:b/>
          <w:bCs/>
          <w:sz w:val="18"/>
          <w:szCs w:val="18"/>
        </w:rPr>
        <w:t>3</w:t>
      </w:r>
      <w:r w:rsidRPr="00094D0B">
        <w:rPr>
          <w:b/>
          <w:bCs/>
          <w:sz w:val="18"/>
          <w:szCs w:val="18"/>
        </w:rPr>
        <w:t xml:space="preserve"> ISSUE</w:t>
      </w:r>
      <w:r w:rsidR="00742EF7">
        <w:rPr>
          <w:b/>
          <w:bCs/>
          <w:sz w:val="18"/>
          <w:szCs w:val="18"/>
        </w:rPr>
        <w:t xml:space="preserve"> </w:t>
      </w:r>
      <w:r w:rsidRPr="00094D0B">
        <w:rPr>
          <w:b/>
          <w:bCs/>
          <w:sz w:val="18"/>
          <w:szCs w:val="18"/>
        </w:rPr>
        <w:t>0</w:t>
      </w:r>
      <w:r w:rsidR="00554C19">
        <w:rPr>
          <w:b/>
          <w:bCs/>
          <w:sz w:val="18"/>
          <w:szCs w:val="18"/>
        </w:rPr>
        <w:t>1</w:t>
      </w:r>
      <w:r w:rsidRPr="00094D0B">
        <w:rPr>
          <w:b/>
          <w:bCs/>
          <w:sz w:val="18"/>
          <w:szCs w:val="18"/>
        </w:rPr>
        <w:t xml:space="preserve"> (20</w:t>
      </w:r>
      <w:r w:rsidR="00554C19">
        <w:rPr>
          <w:b/>
          <w:bCs/>
          <w:sz w:val="18"/>
          <w:szCs w:val="18"/>
        </w:rPr>
        <w:t>26</w:t>
      </w:r>
      <w:r w:rsidRPr="00094D0B">
        <w:rPr>
          <w:b/>
          <w:bCs/>
          <w:sz w:val="18"/>
          <w:szCs w:val="18"/>
        </w:rPr>
        <w:t>)</w:t>
      </w:r>
    </w:p>
    <w:p w14:paraId="133A9438" w14:textId="0023B7AC" w:rsidR="00094D0B" w:rsidRDefault="00094D0B" w:rsidP="00094D0B">
      <w:pPr>
        <w:spacing w:before="98"/>
        <w:ind w:left="144" w:right="184"/>
        <w:rPr>
          <w:b/>
          <w:iCs/>
          <w:color w:val="231F20"/>
          <w:spacing w:val="-4"/>
          <w:sz w:val="16"/>
          <w:szCs w:val="16"/>
        </w:rPr>
      </w:pPr>
      <w:r>
        <w:rPr>
          <w:b/>
          <w:iCs/>
          <w:color w:val="231F20"/>
          <w:spacing w:val="-4"/>
          <w:sz w:val="16"/>
          <w:szCs w:val="16"/>
        </w:rPr>
        <w:t xml:space="preserve">Published Date: </w:t>
      </w:r>
      <w:r w:rsidR="00FE0EF1">
        <w:rPr>
          <w:b/>
          <w:iCs/>
          <w:color w:val="231F20"/>
          <w:spacing w:val="-4"/>
          <w:sz w:val="16"/>
          <w:szCs w:val="16"/>
        </w:rPr>
        <w:t>0</w:t>
      </w:r>
      <w:r w:rsidR="000E315C">
        <w:rPr>
          <w:b/>
          <w:iCs/>
          <w:color w:val="231F20"/>
          <w:spacing w:val="-4"/>
          <w:sz w:val="16"/>
          <w:szCs w:val="16"/>
        </w:rPr>
        <w:t>8</w:t>
      </w:r>
      <w:r>
        <w:rPr>
          <w:b/>
          <w:iCs/>
          <w:color w:val="231F20"/>
          <w:spacing w:val="-4"/>
          <w:sz w:val="16"/>
          <w:szCs w:val="16"/>
        </w:rPr>
        <w:t xml:space="preserve"> </w:t>
      </w:r>
      <w:r w:rsidR="00554C19">
        <w:rPr>
          <w:b/>
          <w:iCs/>
          <w:color w:val="231F20"/>
          <w:spacing w:val="-4"/>
          <w:sz w:val="16"/>
          <w:szCs w:val="16"/>
        </w:rPr>
        <w:t>January</w:t>
      </w:r>
      <w:r>
        <w:rPr>
          <w:b/>
          <w:iCs/>
          <w:color w:val="231F20"/>
          <w:spacing w:val="-4"/>
          <w:sz w:val="16"/>
          <w:szCs w:val="16"/>
        </w:rPr>
        <w:t xml:space="preserve"> 202</w:t>
      </w:r>
      <w:r w:rsidR="00554C19">
        <w:rPr>
          <w:b/>
          <w:iCs/>
          <w:color w:val="231F20"/>
          <w:spacing w:val="-4"/>
          <w:sz w:val="16"/>
          <w:szCs w:val="16"/>
        </w:rPr>
        <w:t>6</w:t>
      </w:r>
      <w:r>
        <w:rPr>
          <w:b/>
          <w:iCs/>
          <w:color w:val="231F20"/>
          <w:spacing w:val="-4"/>
          <w:sz w:val="16"/>
          <w:szCs w:val="16"/>
        </w:rPr>
        <w:t xml:space="preserve"> // Page </w:t>
      </w:r>
      <w:r w:rsidR="0036193E">
        <w:rPr>
          <w:b/>
          <w:iCs/>
          <w:color w:val="231F20"/>
          <w:spacing w:val="-4"/>
          <w:sz w:val="16"/>
          <w:szCs w:val="16"/>
        </w:rPr>
        <w:t>no.: -</w:t>
      </w:r>
      <w:r>
        <w:rPr>
          <w:b/>
          <w:iCs/>
          <w:color w:val="231F20"/>
          <w:spacing w:val="-4"/>
          <w:sz w:val="16"/>
          <w:szCs w:val="16"/>
        </w:rPr>
        <w:t xml:space="preserve"> </w:t>
      </w:r>
      <w:r w:rsidR="000E315C">
        <w:rPr>
          <w:b/>
          <w:iCs/>
          <w:color w:val="231F20"/>
          <w:spacing w:val="-4"/>
          <w:sz w:val="16"/>
          <w:szCs w:val="16"/>
        </w:rPr>
        <w:t>5</w:t>
      </w:r>
      <w:r>
        <w:rPr>
          <w:b/>
          <w:iCs/>
          <w:color w:val="231F20"/>
          <w:spacing w:val="-4"/>
          <w:sz w:val="16"/>
          <w:szCs w:val="16"/>
        </w:rPr>
        <w:t>-</w:t>
      </w:r>
      <w:r>
        <w:rPr>
          <w:b/>
          <w:i/>
          <w:noProof/>
          <w:sz w:val="15"/>
        </w:rPr>
        <mc:AlternateContent>
          <mc:Choice Requires="wps">
            <w:drawing>
              <wp:anchor distT="0" distB="0" distL="0" distR="0" simplePos="0" relativeHeight="487587840" behindDoc="1" locked="0" layoutInCell="1" allowOverlap="1" wp14:anchorId="1FE09198" wp14:editId="780F0568">
                <wp:simplePos x="0" y="0"/>
                <wp:positionH relativeFrom="page">
                  <wp:posOffset>701675</wp:posOffset>
                </wp:positionH>
                <wp:positionV relativeFrom="paragraph">
                  <wp:posOffset>283210</wp:posOffset>
                </wp:positionV>
                <wp:extent cx="6402705" cy="1270"/>
                <wp:effectExtent l="0" t="19050" r="17145" b="17780"/>
                <wp:wrapTopAndBottom/>
                <wp:docPr id="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628" y="0"/>
                              </a:lnTo>
                            </a:path>
                          </a:pathLst>
                        </a:custGeom>
                        <a:ln w="317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F0F6575" id="Freeform: Shape 1" o:spid="_x0000_s1026" style="position:absolute;margin-left:55.25pt;margin-top:22.3pt;width:504.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" path="m,l6402628,e" filled="f" strokecolor="#231f20" strokeweight="2.5pt">
                <v:path arrowok="t"/>
                <w10:wrap type="topAndBottom" anchorx="page"/>
              </v:shape>
            </w:pict>
          </mc:Fallback>
        </mc:AlternateContent>
      </w:r>
      <w:r w:rsidR="000E315C">
        <w:rPr>
          <w:b/>
          <w:iCs/>
          <w:color w:val="231F20"/>
          <w:spacing w:val="-4"/>
          <w:sz w:val="16"/>
          <w:szCs w:val="16"/>
        </w:rPr>
        <w:t>10</w:t>
      </w:r>
    </w:p>
    <w:p w14:paraId="24DF983F" w14:textId="4998D300" w:rsidR="003F43C7" w:rsidRPr="003F5ACA" w:rsidRDefault="003F43C7" w:rsidP="00824888">
      <w:pPr>
        <w:spacing w:before="98"/>
        <w:ind w:right="184"/>
        <w:rPr>
          <w:b/>
          <w:iCs/>
          <w:sz w:val="16"/>
          <w:szCs w:val="16"/>
        </w:rPr>
      </w:pPr>
    </w:p>
    <w:p w14:paraId="30E07AEF" w14:textId="77777777" w:rsidR="003F43C7" w:rsidRPr="003C2510" w:rsidRDefault="00CB60DE">
      <w:pPr>
        <w:pStyle w:val="Heading2"/>
        <w:spacing w:before="58"/>
        <w:rPr>
          <w:sz w:val="20"/>
          <w:szCs w:val="20"/>
        </w:rPr>
      </w:pPr>
      <w:r w:rsidRPr="003C2510">
        <w:rPr>
          <w:color w:val="231F20"/>
          <w:spacing w:val="-2"/>
          <w:sz w:val="20"/>
          <w:szCs w:val="20"/>
        </w:rPr>
        <w:t>ABSTRACT</w:t>
      </w:r>
    </w:p>
    <w:p w14:paraId="2ED8F8B2" w14:textId="77777777" w:rsidR="003F43C7" w:rsidRPr="003C2510" w:rsidRDefault="003F43C7">
      <w:pPr>
        <w:pStyle w:val="BodyText"/>
        <w:spacing w:before="14"/>
        <w:jc w:val="left"/>
        <w:rPr>
          <w:b/>
          <w:sz w:val="20"/>
          <w:szCs w:val="20"/>
        </w:rPr>
      </w:pPr>
    </w:p>
    <w:p w14:paraId="7E2ADC58" w14:textId="37F60677" w:rsidR="003F43C7" w:rsidRPr="003C2510" w:rsidRDefault="000E315C" w:rsidP="00FE0EF1">
      <w:pPr>
        <w:spacing w:before="12"/>
        <w:ind w:left="113"/>
        <w:jc w:val="both"/>
        <w:rPr>
          <w:bCs/>
          <w:sz w:val="20"/>
          <w:szCs w:val="20"/>
        </w:rPr>
      </w:pPr>
      <w:r w:rsidRPr="000E315C">
        <w:rPr>
          <w:bCs/>
          <w:color w:val="231F20"/>
          <w:sz w:val="20"/>
          <w:szCs w:val="20"/>
        </w:rPr>
        <w:t>The rapid proliferation of artificial intelligence (AI), big data analytics, and cloud‑based data governance frameworks has catalyzed transformative changes across sectors including health, commerce, urban infrastructure, and scientific inquiry. Despite immense potential, such data‑driven technologies present complex ethical, regulatory, and governance challenges that require systematic theoretical and practical frameworks. This article critically explores the intersection of data governance, ethics, compliance, and trustworthiness in AI and big data ecosystems. Drawing on multidisciplinary scholarship and empirical insights, it synthesizes scholarly debate on responsible AI, scalable governance mechanisms, ethical data practices, and compliance strategies, while articulating novel theoretical linkages across these dimensions. Findings illustrate the need for robust data governance frameworks to address redundancy, quality, and ethical risks, while advocating for transparency, accountability, and alignment with societal values. Implications underscore how integrated governance approaches can enable trustworthy and socially beneficial AI systems. The article concludes with recommendations for future research and policy priorities in the ethical governance of AI and big data</w:t>
      </w:r>
      <w:r w:rsidR="00AA507B" w:rsidRPr="00AA507B">
        <w:rPr>
          <w:bCs/>
          <w:color w:val="231F20"/>
          <w:sz w:val="20"/>
          <w:szCs w:val="20"/>
        </w:rPr>
        <w:t>.</w:t>
      </w:r>
    </w:p>
    <w:p w14:paraId="4D540CA9" w14:textId="53CA6167" w:rsidR="003F43C7" w:rsidRPr="003C2510" w:rsidRDefault="00CB60DE">
      <w:pPr>
        <w:spacing w:before="173"/>
        <w:ind w:left="113"/>
        <w:jc w:val="both"/>
        <w:rPr>
          <w:sz w:val="20"/>
          <w:szCs w:val="20"/>
        </w:rPr>
      </w:pPr>
      <w:r w:rsidRPr="003C2510">
        <w:rPr>
          <w:b/>
          <w:color w:val="231F20"/>
          <w:spacing w:val="-2"/>
          <w:sz w:val="20"/>
          <w:szCs w:val="20"/>
        </w:rPr>
        <w:t>Keywords:</w:t>
      </w:r>
      <w:r w:rsidRPr="003C2510">
        <w:rPr>
          <w:b/>
          <w:color w:val="231F20"/>
          <w:spacing w:val="9"/>
          <w:sz w:val="20"/>
          <w:szCs w:val="20"/>
        </w:rPr>
        <w:t xml:space="preserve"> </w:t>
      </w:r>
      <w:r w:rsidR="000E315C">
        <w:rPr>
          <w:rFonts w:asciiTheme="majorHAnsi" w:eastAsia="Calibri" w:hAnsiTheme="majorHAnsi" w:cs="Calibri"/>
          <w:color w:val="1B1C1D"/>
          <w:sz w:val="20"/>
          <w:szCs w:val="20"/>
        </w:rPr>
        <w:t>D</w:t>
      </w:r>
      <w:r w:rsidR="000E315C" w:rsidRPr="000E315C">
        <w:rPr>
          <w:rFonts w:asciiTheme="majorHAnsi" w:eastAsia="Calibri" w:hAnsiTheme="majorHAnsi" w:cs="Calibri"/>
          <w:color w:val="1B1C1D"/>
          <w:sz w:val="20"/>
          <w:szCs w:val="20"/>
        </w:rPr>
        <w:t>ata governance, ethical AI, cloud analytics, compliance, transparency, trustworthy systems, big data ethics</w:t>
      </w:r>
      <w:r w:rsidR="004C2410" w:rsidRPr="00B21A5C">
        <w:rPr>
          <w:rFonts w:asciiTheme="majorHAnsi" w:eastAsia="Calibri" w:hAnsiTheme="majorHAnsi" w:cs="Calibri"/>
          <w:color w:val="1B1C1D"/>
          <w:sz w:val="20"/>
          <w:szCs w:val="20"/>
        </w:rPr>
        <w:t>.</w:t>
      </w:r>
    </w:p>
    <w:p w14:paraId="2C76906E" w14:textId="77777777" w:rsidR="003F43C7" w:rsidRPr="003C2510" w:rsidRDefault="00CB60DE">
      <w:pPr>
        <w:pStyle w:val="BodyText"/>
        <w:spacing w:before="6"/>
        <w:jc w:val="left"/>
        <w:rPr>
          <w:sz w:val="20"/>
          <w:szCs w:val="20"/>
        </w:rPr>
      </w:pPr>
      <w:r w:rsidRPr="003C2510">
        <w:rPr>
          <w:noProof/>
          <w:sz w:val="20"/>
          <w:szCs w:val="20"/>
        </w:rPr>
        <mc:AlternateContent>
          <mc:Choice Requires="wps">
            <w:drawing>
              <wp:anchor distT="0" distB="0" distL="0" distR="0" simplePos="0" relativeHeight="487588352" behindDoc="1" locked="0" layoutInCell="1" allowOverlap="1" wp14:anchorId="3F0C6C3D" wp14:editId="5AA13308">
                <wp:simplePos x="0" y="0"/>
                <wp:positionH relativeFrom="page">
                  <wp:posOffset>702259</wp:posOffset>
                </wp:positionH>
                <wp:positionV relativeFrom="paragraph">
                  <wp:posOffset>56794</wp:posOffset>
                </wp:positionV>
                <wp:extent cx="6402705" cy="1270"/>
                <wp:effectExtent l="0" t="0" r="0" b="0"/>
                <wp:wrapTopAndBottom/>
                <wp:docPr id="6"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705" cy="1270"/>
                        </a:xfrm>
                        <a:custGeom>
                          <a:avLst/>
                          <a:gdLst/>
                          <a:ahLst/>
                          <a:cxnLst/>
                          <a:rect l="l" t="t" r="r" b="b"/>
                          <a:pathLst>
                            <a:path w="6402705">
                              <a:moveTo>
                                <a:pt x="0" y="0"/>
                              </a:moveTo>
                              <a:lnTo>
                                <a:pt x="6402628" y="0"/>
                              </a:lnTo>
                            </a:path>
                          </a:pathLst>
                        </a:custGeom>
                        <a:ln w="31750">
                          <a:solidFill>
                            <a:srgbClr val="231F2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3B3ABFD" id="Freeform: Shape 1" o:spid="_x0000_s1026" style="position:absolute;margin-left:55.3pt;margin-top:4.45pt;width:50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2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" path="m,l6402628,e" filled="f" strokecolor="#231f20" strokeweight="2.5pt">
                <v:path arrowok="t"/>
                <w10:wrap type="topAndBottom" anchorx="page"/>
              </v:shape>
            </w:pict>
          </mc:Fallback>
        </mc:AlternateContent>
      </w:r>
    </w:p>
    <w:p w14:paraId="78C6DD3C" w14:textId="0AF3D415" w:rsidR="00B67D01" w:rsidRPr="003C2510" w:rsidRDefault="00B67D01">
      <w:pPr>
        <w:pStyle w:val="BodyText"/>
        <w:jc w:val="left"/>
        <w:rPr>
          <w:sz w:val="20"/>
          <w:szCs w:val="20"/>
        </w:rPr>
        <w:sectPr w:rsidR="00B67D01" w:rsidRPr="003C2510">
          <w:type w:val="continuous"/>
          <w:pgSz w:w="11910" w:h="16840"/>
          <w:pgMar w:top="140" w:right="566" w:bottom="280" w:left="992" w:header="720" w:footer="720" w:gutter="0"/>
          <w:cols w:space="720"/>
        </w:sectPr>
      </w:pPr>
    </w:p>
    <w:p w14:paraId="59FBE9F6" w14:textId="4CAABA3A" w:rsidR="001450FA" w:rsidRPr="00B21A5C" w:rsidRDefault="00B21A5C" w:rsidP="00B21A5C">
      <w:pPr>
        <w:pStyle w:val="Heading2"/>
        <w:spacing w:after="240" w:line="275" w:lineRule="auto"/>
        <w:ind w:left="115"/>
        <w:jc w:val="both"/>
        <w:rPr>
          <w:rFonts w:asciiTheme="majorHAnsi" w:eastAsia="Calibri" w:hAnsiTheme="majorHAnsi" w:cs="Calibri"/>
          <w:color w:val="1B1C1D"/>
          <w:sz w:val="20"/>
          <w:szCs w:val="20"/>
        </w:rPr>
      </w:pPr>
      <w:r w:rsidRPr="00B21A5C">
        <w:rPr>
          <w:rFonts w:asciiTheme="majorHAnsi" w:eastAsia="Calibri" w:hAnsiTheme="majorHAnsi" w:cs="Calibri"/>
          <w:color w:val="1B1C1D"/>
          <w:sz w:val="20"/>
          <w:szCs w:val="20"/>
        </w:rPr>
        <w:t>INTRODUCTION</w:t>
      </w:r>
    </w:p>
    <w:p w14:paraId="102A78D9" w14:textId="5692BFE2"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contemporary data environment has evolved into a complex ecosystem characterized by the ubiquity of artificial intelligence (AI), big data analytics, and cloud computing platforms. This evolution has not only accelerated organizational capacity to generate and process vast quantities of data but has also introduced unprecedented governance and ethical challenges. The integration of AI into decision‑making processes across industries—from healthcare to finance, from smart cities to scientific research—underscores the imperative for a coherent, theoretically grounded governance framework that integrates ethical considerations with regulatory compliance and data quality assurance (</w:t>
      </w:r>
      <w:proofErr w:type="spellStart"/>
      <w:r w:rsidRPr="000E315C">
        <w:rPr>
          <w:rFonts w:asciiTheme="majorHAnsi" w:eastAsia="Calibri" w:hAnsiTheme="majorHAnsi" w:cs="Calibri"/>
          <w:color w:val="1B1C1D"/>
          <w:sz w:val="20"/>
          <w:szCs w:val="20"/>
        </w:rPr>
        <w:t>Alamu</w:t>
      </w:r>
      <w:proofErr w:type="spellEnd"/>
      <w:r w:rsidRPr="000E315C">
        <w:rPr>
          <w:rFonts w:asciiTheme="majorHAnsi" w:eastAsia="Calibri" w:hAnsiTheme="majorHAnsi" w:cs="Calibri"/>
          <w:color w:val="1B1C1D"/>
          <w:sz w:val="20"/>
          <w:szCs w:val="20"/>
        </w:rPr>
        <w:t xml:space="preserve">, 2023;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This integration is essential to ensure that advanced technologies operate in ways that respect human rights, preserve data integrity, and foster public trust.</w:t>
      </w:r>
    </w:p>
    <w:p w14:paraId="486AD3D4"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The theoretical genesis of data governance as a formal discipline can be traced to organizational information management frameworks that prioritize data quality, access controls, and policy enforcement. Early research emphasized data accuracy, accessibility, and protection as fundamental dimensions of organizational value (EGBEDION, 2024;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 However, as AI </w:t>
      </w:r>
      <w:r w:rsidRPr="000E315C">
        <w:rPr>
          <w:rFonts w:asciiTheme="majorHAnsi" w:eastAsia="Calibri" w:hAnsiTheme="majorHAnsi" w:cs="Calibri"/>
          <w:color w:val="1B1C1D"/>
          <w:sz w:val="20"/>
          <w:szCs w:val="20"/>
        </w:rPr>
        <w:t xml:space="preserve">algorithms increasingly mediate social outcomes, scholars have expanded the scope to include ethical dimensions, such as fairness, transparency, accountability, and the prevention of bias (Chaudhary, 2024; </w:t>
      </w: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2022). This expansion reflects a recognition that conventional technical governance mechanisms are insufficient in isolation; they must be complemented by normative frameworks that capture societal expectations and moral imperatives.</w:t>
      </w:r>
    </w:p>
    <w:p w14:paraId="454D524B"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proliferation of cloud‑based data systems further complicates governance due to scalability, interoperability, and jurisdictional issues (Conference International Sixth, 2013). Data located in distributed environments introduces challenges in traceability, regulatory compliance, and control over data lifecycle processes. Theoretical models of data governance have sought to reconcile these challenges by proposing layered governance architectures that combine centralized policy frameworks with decentralized operational controls, underpinned by standards for ethical AI deployment (</w:t>
      </w: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et al., 2024). Yet, many questions remain unresolved, particularly concerning how organizations can balance innovation with ethical risk mitigation in high‑impact data ecosystems.</w:t>
      </w:r>
    </w:p>
    <w:p w14:paraId="425ADEC3"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At the core of this debate lies the concept of </w:t>
      </w:r>
      <w:r w:rsidRPr="000E315C">
        <w:rPr>
          <w:rFonts w:asciiTheme="majorHAnsi" w:eastAsia="Calibri" w:hAnsiTheme="majorHAnsi" w:cs="Calibri"/>
          <w:color w:val="1B1C1D"/>
          <w:sz w:val="20"/>
          <w:szCs w:val="20"/>
        </w:rPr>
        <w:lastRenderedPageBreak/>
        <w:t>trustworthiness in AI systems, defined as the degree to which AI operations align with stakeholder expectations regarding reliability, fairness, privacy protection, and social benefit (</w:t>
      </w:r>
      <w:proofErr w:type="spellStart"/>
      <w:r w:rsidRPr="000E315C">
        <w:rPr>
          <w:rFonts w:asciiTheme="majorHAnsi" w:eastAsia="Calibri" w:hAnsiTheme="majorHAnsi" w:cs="Calibri"/>
          <w:color w:val="1B1C1D"/>
          <w:sz w:val="20"/>
          <w:szCs w:val="20"/>
        </w:rPr>
        <w:t>Coeckelbergh</w:t>
      </w:r>
      <w:proofErr w:type="spellEnd"/>
      <w:r w:rsidRPr="000E315C">
        <w:rPr>
          <w:rFonts w:asciiTheme="majorHAnsi" w:eastAsia="Calibri" w:hAnsiTheme="majorHAnsi" w:cs="Calibri"/>
          <w:color w:val="1B1C1D"/>
          <w:sz w:val="20"/>
          <w:szCs w:val="20"/>
        </w:rPr>
        <w:t xml:space="preserve"> et al., 2023). Trustworthiness is not merely a technical attribute; it is a multidimensional construct that encompasses legal compliance, ethical norms, and human values (Taddeo et al., 2016). The integration of trustworthiness into governance frameworks is essential to address ethical risks and engender public confidence in AI systems, particularly in contexts where algorithmic decisions have significant consequences for individuals and communities.</w:t>
      </w:r>
    </w:p>
    <w:p w14:paraId="3320BEAD"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The literature has increasingly focused on practical frameworks for ethical governance, such as those emphasizing transparent algorithmic processes, human oversight, bias mitigation strategies, and participatory design methods (Lin, 2016;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 These frameworks draw from disciplines including computer science, ethics, law, and organizational studies, reflecting the inherently interdisciplinary nature of data governance research. For instance, ethical AI frameworks propose principles such as autonomy, justice, beneficence, and explicability as foundations for designing systems that respect human rights and social norms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w:t>
      </w:r>
    </w:p>
    <w:p w14:paraId="0A3FB28A"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However, a critical literature gap persists in the integration of data governance frameworks with operational compliance mechanisms to ensure not only ethical alignment but also regulatory adherence across heterogeneous data environments. While existing studies have articulated high‑level principles, there is limited empirical and theoretical research on how these principles can be institutionalized within organizational structures, processes, and cultures (</w:t>
      </w: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et al., 2023). Furthermore, research has yet to fully conceptualize how governance architectures can adapt dynamically to changes in data technologies, regulatory landscapes, and societal expectations.</w:t>
      </w:r>
    </w:p>
    <w:p w14:paraId="48B11ABE"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This study aims to address this gap by synthesizing theoretical insights from multidisciplinary scholarship into a comprehensive analysis of data‑centric governance models that prioritize ethical, regulatory, and trustworthiness considerations in AI and big data systems. It contributes to the scholarly debate by articulating a nuanced framework that integrates data quality assurance, compliance, ethical risk mitigation, and trustworthiness into a cohesive governance architecture. Through this exploration, we seek to advance theoretical understanding and inform practical approaches for organizations navigating the ethical governance of complex data ecosystems.</w:t>
      </w:r>
    </w:p>
    <w:p w14:paraId="4D5BD738" w14:textId="3C911595"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0E315C">
        <w:rPr>
          <w:rFonts w:asciiTheme="majorHAnsi" w:eastAsia="Calibri" w:hAnsiTheme="majorHAnsi" w:cs="Calibri"/>
          <w:b/>
          <w:bCs/>
          <w:color w:val="1B1C1D"/>
          <w:sz w:val="20"/>
          <w:szCs w:val="20"/>
        </w:rPr>
        <w:t>METHODOLOGY</w:t>
      </w:r>
    </w:p>
    <w:p w14:paraId="575C6445"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To explore the multifaceted landscape of data governance and ethical AI frameworks, this research adopts a qualitative meta‑synthesis methodology. Meta‑synthesis is a rigorous interpretive approach designed to integrate findings from diverse qualitative studies into a coherent analytical narrative. Unlike meta‑analysis, which aggregates quantitative results, meta‑synthesis emphasizes the interpretation of conceptual themes and theoretical constructs across studies, enabling a deeper understanding of complex phenomena such as governance, ethics, and trustworthiness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w:t>
      </w:r>
      <w:proofErr w:type="spellStart"/>
      <w:r w:rsidRPr="000E315C">
        <w:rPr>
          <w:rFonts w:asciiTheme="majorHAnsi" w:eastAsia="Calibri" w:hAnsiTheme="majorHAnsi" w:cs="Calibri"/>
          <w:color w:val="1B1C1D"/>
          <w:sz w:val="20"/>
          <w:szCs w:val="20"/>
        </w:rPr>
        <w:t>Alamu</w:t>
      </w:r>
      <w:proofErr w:type="spellEnd"/>
      <w:r w:rsidRPr="000E315C">
        <w:rPr>
          <w:rFonts w:asciiTheme="majorHAnsi" w:eastAsia="Calibri" w:hAnsiTheme="majorHAnsi" w:cs="Calibri"/>
          <w:color w:val="1B1C1D"/>
          <w:sz w:val="20"/>
          <w:szCs w:val="20"/>
        </w:rPr>
        <w:t>, 2023). The rationale for selecting this methodology is grounded in the need to reconcile divergent scholarly perspectives, illuminate underlying theoretical tensions, and generate new conceptual insights that can inform both academic theory and practical governance strategies.</w:t>
      </w:r>
    </w:p>
    <w:p w14:paraId="0E7F9E9C"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research process entailed an extensive review and analysis of peer‑reviewed journals, conference proceedings, and authoritative white papers spanning the domains of data governance, AI ethics, cloud computing compliance, and big data analytics. Primary sources included interdisciplinary works that addressed governance frameworks, ethical principles, regulatory compliance mechanisms, and trustworthiness criteria in data‑driven systems (</w:t>
      </w: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et al., 2023; </w:t>
      </w: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et al., 2024). Secondary sources such as industry reports and policy documents were also consulted to contextualize scholarly debates within real‑world governance practices.</w:t>
      </w:r>
    </w:p>
    <w:p w14:paraId="50F47D98"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analytical process involved several iterative stages. First, key themes were identified through close reading of each source, focusing on conceptual definitions, theoretical frameworks, governance models, ethical principles, and empirical observations. This thematic coding was informed by grounded theory techniques, allowing patterns to emerge inductively from the data rather than imposing preconceived categories. Themes included data quality governance, algorithmic transparency, regulatory compliance, ethical risk mitigation, trustworthiness criteria, and cloud governance challenges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 </w:t>
      </w: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2022).</w:t>
      </w:r>
    </w:p>
    <w:p w14:paraId="4E830F87"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Second, the identified themes were compared across studies to identify areas of convergence and divergence. For example, while some scholars emphasized technical governance mechanisms such as metadata management and access controls, others foregrounded ethical imperatives such as human oversight and fairness. This comparative analysis enabled the synthesis of a multidimensional governance framework that integrates both technical and normative dimensions of data governance (Lin, 2016;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w:t>
      </w:r>
    </w:p>
    <w:p w14:paraId="14F789AF"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lastRenderedPageBreak/>
        <w:t>Third, theoretical constructs derived from the literature were mapped onto a conceptual framework that illustrates interdependencies among governance components. For instance, trustworthiness in AI systems emerged as a central node connecting ethical principles, compliance mechanisms, and data governance structures. This framework facilitates a holistic understanding of how governance practices can be orchestrated to achieve organizational and societal objectives.</w:t>
      </w:r>
    </w:p>
    <w:p w14:paraId="7769B7AB"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Despite its strengths, the meta‑synthesis methodology has limitations. It relies on the interpretive judgment of the researcher, which introduces potential subjectivity. Efforts were made to mitigate this limitation through systematic coding procedures, triangulation of sources, and critical reflexivity during analysis. Furthermore, the methodology does not yield quantifiable metrics, which may limit its direct applicability for empirical performance evaluation. However, its emphasis on conceptual depth and theoretical integration makes it particularly suitable for addressing complex, interdisciplinary research questions such as those posed in this study.</w:t>
      </w:r>
    </w:p>
    <w:p w14:paraId="2DB804B2"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By synthesizing conceptual insights from a broad array of scholarly work, this methodology provides a rich foundation for exploring the theoretical and practical dimensions of data‑centric governance in AI and big data ecosystems. The next section presents interpretive findings grounded in literature that elucidate key governance dynamics and ethical considerations.</w:t>
      </w:r>
    </w:p>
    <w:p w14:paraId="0798F7F6" w14:textId="06E93C8F"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0E315C">
        <w:rPr>
          <w:rFonts w:asciiTheme="majorHAnsi" w:eastAsia="Calibri" w:hAnsiTheme="majorHAnsi" w:cs="Calibri"/>
          <w:b/>
          <w:bCs/>
          <w:color w:val="1B1C1D"/>
          <w:sz w:val="20"/>
          <w:szCs w:val="20"/>
        </w:rPr>
        <w:t>RESULTS</w:t>
      </w:r>
    </w:p>
    <w:p w14:paraId="126D3CEF"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analysis reveals several interconnected dimensions of data governance and ethical AI systems, each reflecting both theoretical constructs and practical implementation challenges. First, data quality and integrity emerge as foundational components of effective governance. Ensuring high-quality, accurate, and consistent data underpins the reliability of AI systems, particularly in domains such as healthcare, finance, and urban management, where erroneous outputs can have significant societal consequences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EGBEDION, 2024). Techniques such as automated data validation, metadata standardization, and real-time auditing were consistently cited as mechanisms to maintain data quality, yet the literature emphasizes that these technical interventions must be paired with organizational policies and ethical oversight to achieve full effectiveness (Conference International Sixth, 2013).</w:t>
      </w:r>
    </w:p>
    <w:p w14:paraId="03C768E1"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A second dimension involves ethical oversight and algorithmic transparency. Scholars argue that the opacity of AI decision-making—the so-called “black box” </w:t>
      </w:r>
      <w:r w:rsidRPr="000E315C">
        <w:rPr>
          <w:rFonts w:asciiTheme="majorHAnsi" w:eastAsia="Calibri" w:hAnsiTheme="majorHAnsi" w:cs="Calibri"/>
          <w:color w:val="1B1C1D"/>
          <w:sz w:val="20"/>
          <w:szCs w:val="20"/>
        </w:rPr>
        <w:t>problem—represents a critical barrier to trustworthiness (Chaudhary, 2024). Transparent governance frameworks facilitate accountability by providing mechanisms to explain, audit, and rectify algorithmic decisions, thereby reducing the potential for bias, discrimination, or harm (</w:t>
      </w: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xml:space="preserve">, 2022). The literature presents varied approaches, including algorithmic </w:t>
      </w:r>
      <w:proofErr w:type="spellStart"/>
      <w:r w:rsidRPr="000E315C">
        <w:rPr>
          <w:rFonts w:asciiTheme="majorHAnsi" w:eastAsia="Calibri" w:hAnsiTheme="majorHAnsi" w:cs="Calibri"/>
          <w:color w:val="1B1C1D"/>
          <w:sz w:val="20"/>
          <w:szCs w:val="20"/>
        </w:rPr>
        <w:t>explainability</w:t>
      </w:r>
      <w:proofErr w:type="spellEnd"/>
      <w:r w:rsidRPr="000E315C">
        <w:rPr>
          <w:rFonts w:asciiTheme="majorHAnsi" w:eastAsia="Calibri" w:hAnsiTheme="majorHAnsi" w:cs="Calibri"/>
          <w:color w:val="1B1C1D"/>
          <w:sz w:val="20"/>
          <w:szCs w:val="20"/>
        </w:rPr>
        <w:t xml:space="preserve"> standards, participatory oversight committees, and documentation protocols, which together enhance the capacity of organizations to align AI operations with societal norms and ethical expectations (Lin, 2016;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w:t>
      </w:r>
    </w:p>
    <w:p w14:paraId="140F413B"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Third, compliance and regulatory adherence are pivotal in multi-jurisdictional data ecosystems. With data stored and processed across distributed cloud platforms, organizations face complex legal landscapes encompassing data protection laws, industry-specific regulations, and cross-border requirements (</w:t>
      </w:r>
      <w:proofErr w:type="spellStart"/>
      <w:r w:rsidRPr="000E315C">
        <w:rPr>
          <w:rFonts w:asciiTheme="majorHAnsi" w:eastAsia="Calibri" w:hAnsiTheme="majorHAnsi" w:cs="Calibri"/>
          <w:color w:val="1B1C1D"/>
          <w:sz w:val="20"/>
          <w:szCs w:val="20"/>
        </w:rPr>
        <w:t>Alamu</w:t>
      </w:r>
      <w:proofErr w:type="spellEnd"/>
      <w:r w:rsidRPr="000E315C">
        <w:rPr>
          <w:rFonts w:asciiTheme="majorHAnsi" w:eastAsia="Calibri" w:hAnsiTheme="majorHAnsi" w:cs="Calibri"/>
          <w:color w:val="1B1C1D"/>
          <w:sz w:val="20"/>
          <w:szCs w:val="20"/>
        </w:rPr>
        <w:t xml:space="preserve">, 2023;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 The findings indicate that effective governance requires the integration of regulatory monitoring tools, compliance dashboards, and policy frameworks capable of dynamically adapting to evolving legal environments. Failure to implement such mechanisms not only jeopardizes organizational legitimacy but also undermines trustworthiness, which is increasingly recognized as a strategic asset in AI-driven enterprises (</w:t>
      </w: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et al., 2023).</w:t>
      </w:r>
    </w:p>
    <w:p w14:paraId="28461E78"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Fourth, the literature highlights the importance of a sociotechnical perspective, emphasizing that governance is not purely technical but also involves human actors, organizational culture, and societal expectations (</w:t>
      </w:r>
      <w:proofErr w:type="spellStart"/>
      <w:r w:rsidRPr="000E315C">
        <w:rPr>
          <w:rFonts w:asciiTheme="majorHAnsi" w:eastAsia="Calibri" w:hAnsiTheme="majorHAnsi" w:cs="Calibri"/>
          <w:color w:val="1B1C1D"/>
          <w:sz w:val="20"/>
          <w:szCs w:val="20"/>
        </w:rPr>
        <w:t>Coeckelbergh</w:t>
      </w:r>
      <w:proofErr w:type="spellEnd"/>
      <w:r w:rsidRPr="000E315C">
        <w:rPr>
          <w:rFonts w:asciiTheme="majorHAnsi" w:eastAsia="Calibri" w:hAnsiTheme="majorHAnsi" w:cs="Calibri"/>
          <w:color w:val="1B1C1D"/>
          <w:sz w:val="20"/>
          <w:szCs w:val="20"/>
        </w:rPr>
        <w:t xml:space="preserve"> et al., 2023; Taddeo et al., 2016). Ethical AI governance frameworks must therefore address the interplay between technological capabilities and human values, ensuring that systems enhance social welfare rather than exacerbate inequities. This includes embedding stakeholder engagement in system design, implementing robust human-in-the-loop controls, and conducting continuous impact assessments to anticipate unintended consequences (Basil et al., 2022; </w:t>
      </w: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et al., 2024).</w:t>
      </w:r>
    </w:p>
    <w:p w14:paraId="250BB79D"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Finally, governance frameworks in big data and AI must account for operational scalability and resilience. Distributed cloud architectures and real-time data analytics introduce challenges related to data redundancy, latency, and system reliability (Conference International Sixth, 2013; Rossi et al., 2020). The synthesis of literature suggests that layered governance structures—combining centralized policy frameworks with decentralized operational controls—provide the flexibility required to manage complex, high-volume data ecosystems. Moreover, integrating automated monitoring systems, predictive </w:t>
      </w:r>
      <w:r w:rsidRPr="000E315C">
        <w:rPr>
          <w:rFonts w:asciiTheme="majorHAnsi" w:eastAsia="Calibri" w:hAnsiTheme="majorHAnsi" w:cs="Calibri"/>
          <w:color w:val="1B1C1D"/>
          <w:sz w:val="20"/>
          <w:szCs w:val="20"/>
        </w:rPr>
        <w:lastRenderedPageBreak/>
        <w:t xml:space="preserve">analytics for anomaly detection, and adaptive feedback mechanisms ensures that governance remains effective under dynamic operational conditions (NR </w:t>
      </w:r>
      <w:proofErr w:type="spellStart"/>
      <w:r w:rsidRPr="000E315C">
        <w:rPr>
          <w:rFonts w:asciiTheme="majorHAnsi" w:eastAsia="Calibri" w:hAnsiTheme="majorHAnsi" w:cs="Calibri"/>
          <w:color w:val="1B1C1D"/>
          <w:sz w:val="20"/>
          <w:szCs w:val="20"/>
        </w:rPr>
        <w:t>Desani</w:t>
      </w:r>
      <w:proofErr w:type="spellEnd"/>
      <w:r w:rsidRPr="000E315C">
        <w:rPr>
          <w:rFonts w:asciiTheme="majorHAnsi" w:eastAsia="Calibri" w:hAnsiTheme="majorHAnsi" w:cs="Calibri"/>
          <w:color w:val="1B1C1D"/>
          <w:sz w:val="20"/>
          <w:szCs w:val="20"/>
        </w:rPr>
        <w:t xml:space="preserve">, 2020; </w:t>
      </w:r>
      <w:proofErr w:type="spellStart"/>
      <w:r w:rsidRPr="000E315C">
        <w:rPr>
          <w:rFonts w:asciiTheme="majorHAnsi" w:eastAsia="Calibri" w:hAnsiTheme="majorHAnsi" w:cs="Calibri"/>
          <w:color w:val="1B1C1D"/>
          <w:sz w:val="20"/>
          <w:szCs w:val="20"/>
        </w:rPr>
        <w:t>Hajari</w:t>
      </w:r>
      <w:proofErr w:type="spellEnd"/>
      <w:r w:rsidRPr="000E315C">
        <w:rPr>
          <w:rFonts w:asciiTheme="majorHAnsi" w:eastAsia="Calibri" w:hAnsiTheme="majorHAnsi" w:cs="Calibri"/>
          <w:color w:val="1B1C1D"/>
          <w:sz w:val="20"/>
          <w:szCs w:val="20"/>
        </w:rPr>
        <w:t xml:space="preserve"> et al., 2020).</w:t>
      </w:r>
    </w:p>
    <w:p w14:paraId="4D8FC997" w14:textId="6BF767B2"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0E315C">
        <w:rPr>
          <w:rFonts w:asciiTheme="majorHAnsi" w:eastAsia="Calibri" w:hAnsiTheme="majorHAnsi" w:cs="Calibri"/>
          <w:b/>
          <w:bCs/>
          <w:color w:val="1B1C1D"/>
          <w:sz w:val="20"/>
          <w:szCs w:val="20"/>
        </w:rPr>
        <w:t>DISCUSSION</w:t>
      </w:r>
    </w:p>
    <w:p w14:paraId="2035919B"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preceding results reveal a complex landscape in which data governance, ethical oversight, regulatory compliance, and trustworthiness are deeply intertwined. From a theoretical standpoint, this interdependency supports the emergence of a holistic governance paradigm that situates AI and big data systems within sociotechnical, ethical, and regulatory contexts simultaneously. While the literature often treats these dimensions discretely, our synthesis underscores that governance effectiveness depends on their coherent integration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w:t>
      </w:r>
    </w:p>
    <w:p w14:paraId="421FA26D"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Ethical considerations are particularly salient in environments where AI systems perform decisions with high social impact. The “black box” nature of AI algorithms, as identified by Chaudhary (2024), introduces ethical and legal risks when decisions cannot be explained or contested. This issue has generated scholarly debate: some argue that algorithmic transparency is paramount to accountability, while others contend that complete transparency may be impractical in complex machine learning architectures (</w:t>
      </w: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xml:space="preserve">, 2022). Our synthesis suggests a balanced approach, combining explainable AI techniques with human oversight and ethical review boards, thus ensuring that decision-making processes are both interpretable and socially responsible (Lin, 2016;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w:t>
      </w:r>
    </w:p>
    <w:p w14:paraId="52A71580"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Data governance frameworks must also navigate the tension between operational efficiency and ethical rigor. High-volume, cloud-based data environments necessitate automation for scalability, yet excessive reliance on automated processes may obscure ethical violations or introduce systemic bias (Conference International Sixth, 2013; NR </w:t>
      </w:r>
      <w:proofErr w:type="spellStart"/>
      <w:r w:rsidRPr="000E315C">
        <w:rPr>
          <w:rFonts w:asciiTheme="majorHAnsi" w:eastAsia="Calibri" w:hAnsiTheme="majorHAnsi" w:cs="Calibri"/>
          <w:color w:val="1B1C1D"/>
          <w:sz w:val="20"/>
          <w:szCs w:val="20"/>
        </w:rPr>
        <w:t>Desani</w:t>
      </w:r>
      <w:proofErr w:type="spellEnd"/>
      <w:r w:rsidRPr="000E315C">
        <w:rPr>
          <w:rFonts w:asciiTheme="majorHAnsi" w:eastAsia="Calibri" w:hAnsiTheme="majorHAnsi" w:cs="Calibri"/>
          <w:color w:val="1B1C1D"/>
          <w:sz w:val="20"/>
          <w:szCs w:val="20"/>
        </w:rPr>
        <w:t xml:space="preserve">, 2020). Scholars such as </w:t>
      </w:r>
      <w:proofErr w:type="spellStart"/>
      <w:r w:rsidRPr="000E315C">
        <w:rPr>
          <w:rFonts w:asciiTheme="majorHAnsi" w:eastAsia="Calibri" w:hAnsiTheme="majorHAnsi" w:cs="Calibri"/>
          <w:color w:val="1B1C1D"/>
          <w:sz w:val="20"/>
          <w:szCs w:val="20"/>
        </w:rPr>
        <w:t>Hajari</w:t>
      </w:r>
      <w:proofErr w:type="spellEnd"/>
      <w:r w:rsidRPr="000E315C">
        <w:rPr>
          <w:rFonts w:asciiTheme="majorHAnsi" w:eastAsia="Calibri" w:hAnsiTheme="majorHAnsi" w:cs="Calibri"/>
          <w:color w:val="1B1C1D"/>
          <w:sz w:val="20"/>
          <w:szCs w:val="20"/>
        </w:rPr>
        <w:t xml:space="preserve"> et al. (2020) emphasize the importance of algorithmic auditing, periodic ethical reviews, and adaptive governance mechanisms capable of responding to emergent risks. These strategies reconcile the need for operational efficiency with the imperative of ethical compliance, thereby reinforcing the trustworthiness of AI systems.</w:t>
      </w:r>
    </w:p>
    <w:p w14:paraId="6EF0AA89"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Compliance is another critical locus of scholarly concern. The proliferation of jurisdiction-specific regulations, such as data protection laws, sectoral compliance standards, and international agreements, complicates governance in </w:t>
      </w:r>
      <w:r w:rsidRPr="000E315C">
        <w:rPr>
          <w:rFonts w:asciiTheme="majorHAnsi" w:eastAsia="Calibri" w:hAnsiTheme="majorHAnsi" w:cs="Calibri"/>
          <w:color w:val="1B1C1D"/>
          <w:sz w:val="20"/>
          <w:szCs w:val="20"/>
        </w:rPr>
        <w:t>distributed environments (</w:t>
      </w:r>
      <w:proofErr w:type="spellStart"/>
      <w:r w:rsidRPr="000E315C">
        <w:rPr>
          <w:rFonts w:asciiTheme="majorHAnsi" w:eastAsia="Calibri" w:hAnsiTheme="majorHAnsi" w:cs="Calibri"/>
          <w:color w:val="1B1C1D"/>
          <w:sz w:val="20"/>
          <w:szCs w:val="20"/>
        </w:rPr>
        <w:t>Alamu</w:t>
      </w:r>
      <w:proofErr w:type="spellEnd"/>
      <w:r w:rsidRPr="000E315C">
        <w:rPr>
          <w:rFonts w:asciiTheme="majorHAnsi" w:eastAsia="Calibri" w:hAnsiTheme="majorHAnsi" w:cs="Calibri"/>
          <w:color w:val="1B1C1D"/>
          <w:sz w:val="20"/>
          <w:szCs w:val="20"/>
        </w:rPr>
        <w:t xml:space="preserve">, 2023; </w:t>
      </w: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et al., 2023). Effective governance frameworks incorporate automated compliance monitoring, dynamic policy adaptation, and cross-functional governance committees to ensure adherence across complex operational landscapes. Failure to implement such measures risks both regulatory sanctions and erosion of public trust, highlighting the intertwined nature of compliance and ethical legitimacy (</w:t>
      </w:r>
      <w:proofErr w:type="spellStart"/>
      <w:r w:rsidRPr="000E315C">
        <w:rPr>
          <w:rFonts w:asciiTheme="majorHAnsi" w:eastAsia="Calibri" w:hAnsiTheme="majorHAnsi" w:cs="Calibri"/>
          <w:color w:val="1B1C1D"/>
          <w:sz w:val="20"/>
          <w:szCs w:val="20"/>
        </w:rPr>
        <w:t>Coeckelbergh</w:t>
      </w:r>
      <w:proofErr w:type="spellEnd"/>
      <w:r w:rsidRPr="000E315C">
        <w:rPr>
          <w:rFonts w:asciiTheme="majorHAnsi" w:eastAsia="Calibri" w:hAnsiTheme="majorHAnsi" w:cs="Calibri"/>
          <w:color w:val="1B1C1D"/>
          <w:sz w:val="20"/>
          <w:szCs w:val="20"/>
        </w:rPr>
        <w:t xml:space="preserve"> et al., 2023; Taddeo et al., 2016).</w:t>
      </w:r>
    </w:p>
    <w:p w14:paraId="21CB3E36"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The integration of sociotechnical perspectives provides additional nuance. Trustworthiness is not merely an attribute of AI systems but emerges from the interaction between technology, organizational practices, and societal perceptions (Basil et al., 2022; </w:t>
      </w: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et al., 2024). Ethical governance must therefore engage stakeholders proactively, embedding participatory design methods, feedback loops, and transparency mechanisms to ensure alignment with societal values. Such strategies address criticisms that AI deployment often prioritizes efficiency over equity, reinforcing the normative legitimacy of technological interventions (</w:t>
      </w: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xml:space="preserve">, 2022;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w:t>
      </w:r>
    </w:p>
    <w:p w14:paraId="0D1E5B96"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Notably, the literature reveals ongoing debates regarding the operationalization of governance principles. Some scholars advocate prescriptive frameworks with rigid standards for data quality, algorithmic fairness, and ethical compliance (Lin, 2016;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 Others favor flexible, context-sensitive approaches that adapt governance practices to organizational scale, sectoral requirements, and technological complexity (Conference International Sixth, 2013; NR </w:t>
      </w:r>
      <w:proofErr w:type="spellStart"/>
      <w:r w:rsidRPr="000E315C">
        <w:rPr>
          <w:rFonts w:asciiTheme="majorHAnsi" w:eastAsia="Calibri" w:hAnsiTheme="majorHAnsi" w:cs="Calibri"/>
          <w:color w:val="1B1C1D"/>
          <w:sz w:val="20"/>
          <w:szCs w:val="20"/>
        </w:rPr>
        <w:t>Desani</w:t>
      </w:r>
      <w:proofErr w:type="spellEnd"/>
      <w:r w:rsidRPr="000E315C">
        <w:rPr>
          <w:rFonts w:asciiTheme="majorHAnsi" w:eastAsia="Calibri" w:hAnsiTheme="majorHAnsi" w:cs="Calibri"/>
          <w:color w:val="1B1C1D"/>
          <w:sz w:val="20"/>
          <w:szCs w:val="20"/>
        </w:rPr>
        <w:t>, 2020). Our synthesis supports a hybrid model, wherein high-level ethical and regulatory principles provide normative guidance, while operational policies are tailored dynamically to specific organizational and technological contexts.</w:t>
      </w:r>
    </w:p>
    <w:p w14:paraId="60AC4549"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Despite these advances, limitations remain. Current frameworks often lack comprehensive mechanisms for continuous learning and adaptation, leaving organizations vulnerable to emergent risks in rapidly evolving AI environments (</w:t>
      </w:r>
      <w:proofErr w:type="spellStart"/>
      <w:r w:rsidRPr="000E315C">
        <w:rPr>
          <w:rFonts w:asciiTheme="majorHAnsi" w:eastAsia="Calibri" w:hAnsiTheme="majorHAnsi" w:cs="Calibri"/>
          <w:color w:val="1B1C1D"/>
          <w:sz w:val="20"/>
          <w:szCs w:val="20"/>
        </w:rPr>
        <w:t>Hajari</w:t>
      </w:r>
      <w:proofErr w:type="spellEnd"/>
      <w:r w:rsidRPr="000E315C">
        <w:rPr>
          <w:rFonts w:asciiTheme="majorHAnsi" w:eastAsia="Calibri" w:hAnsiTheme="majorHAnsi" w:cs="Calibri"/>
          <w:color w:val="1B1C1D"/>
          <w:sz w:val="20"/>
          <w:szCs w:val="20"/>
        </w:rPr>
        <w:t xml:space="preserve"> et al., 2020;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Moreover, empirical validation of governance effectiveness is limited, with few studies linking theoretical frameworks to measurable outcomes in real-world deployments. Addressing these gaps requires interdisciplinary research that combines theoretical rigor, empirical testing, and longitudinal analysis to evaluate the impact of governance frameworks on ethical compliance, operational resilience, and trustworthiness (</w:t>
      </w:r>
      <w:proofErr w:type="spellStart"/>
      <w:r w:rsidRPr="000E315C">
        <w:rPr>
          <w:rFonts w:asciiTheme="majorHAnsi" w:eastAsia="Calibri" w:hAnsiTheme="majorHAnsi" w:cs="Calibri"/>
          <w:color w:val="1B1C1D"/>
          <w:sz w:val="20"/>
          <w:szCs w:val="20"/>
        </w:rPr>
        <w:t>Alamu</w:t>
      </w:r>
      <w:proofErr w:type="spellEnd"/>
      <w:r w:rsidRPr="000E315C">
        <w:rPr>
          <w:rFonts w:asciiTheme="majorHAnsi" w:eastAsia="Calibri" w:hAnsiTheme="majorHAnsi" w:cs="Calibri"/>
          <w:color w:val="1B1C1D"/>
          <w:sz w:val="20"/>
          <w:szCs w:val="20"/>
        </w:rPr>
        <w:t xml:space="preserve">, 2023; </w:t>
      </w: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et al., 2023).</w:t>
      </w:r>
    </w:p>
    <w:p w14:paraId="4BEAD969"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Future research should also explore the interplay between </w:t>
      </w:r>
      <w:r w:rsidRPr="000E315C">
        <w:rPr>
          <w:rFonts w:asciiTheme="majorHAnsi" w:eastAsia="Calibri" w:hAnsiTheme="majorHAnsi" w:cs="Calibri"/>
          <w:color w:val="1B1C1D"/>
          <w:sz w:val="20"/>
          <w:szCs w:val="20"/>
        </w:rPr>
        <w:lastRenderedPageBreak/>
        <w:t>governance, ethical AI, and societal perceptions. As public scrutiny of AI grows, organizations must demonstrate accountability not only through internal governance structures but also through transparent communication and engagement with external stakeholders. This sociotechnical orientation expands the scope of governance beyond internal controls to encompass broader societal responsibilities, aligning technological innovation with human-centric values (</w:t>
      </w:r>
      <w:proofErr w:type="spellStart"/>
      <w:r w:rsidRPr="000E315C">
        <w:rPr>
          <w:rFonts w:asciiTheme="majorHAnsi" w:eastAsia="Calibri" w:hAnsiTheme="majorHAnsi" w:cs="Calibri"/>
          <w:color w:val="1B1C1D"/>
          <w:sz w:val="20"/>
          <w:szCs w:val="20"/>
        </w:rPr>
        <w:t>Coeckelbergh</w:t>
      </w:r>
      <w:proofErr w:type="spellEnd"/>
      <w:r w:rsidRPr="000E315C">
        <w:rPr>
          <w:rFonts w:asciiTheme="majorHAnsi" w:eastAsia="Calibri" w:hAnsiTheme="majorHAnsi" w:cs="Calibri"/>
          <w:color w:val="1B1C1D"/>
          <w:sz w:val="20"/>
          <w:szCs w:val="20"/>
        </w:rPr>
        <w:t xml:space="preserve"> et al., 2023; Taddeo et al., 2016).</w:t>
      </w:r>
    </w:p>
    <w:p w14:paraId="0BA36D76"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Furthermore, advances in automation, blockchain-based auditing, and data provenance tools offer promising avenues for enhancing governance and ethical compliance (Rossi et al., 2020; </w:t>
      </w:r>
      <w:proofErr w:type="spellStart"/>
      <w:r w:rsidRPr="000E315C">
        <w:rPr>
          <w:rFonts w:asciiTheme="majorHAnsi" w:eastAsia="Calibri" w:hAnsiTheme="majorHAnsi" w:cs="Calibri"/>
          <w:color w:val="1B1C1D"/>
          <w:sz w:val="20"/>
          <w:szCs w:val="20"/>
        </w:rPr>
        <w:t>Hajari</w:t>
      </w:r>
      <w:proofErr w:type="spellEnd"/>
      <w:r w:rsidRPr="000E315C">
        <w:rPr>
          <w:rFonts w:asciiTheme="majorHAnsi" w:eastAsia="Calibri" w:hAnsiTheme="majorHAnsi" w:cs="Calibri"/>
          <w:color w:val="1B1C1D"/>
          <w:sz w:val="20"/>
          <w:szCs w:val="20"/>
        </w:rPr>
        <w:t xml:space="preserve"> et al., 2020). Integrating these technologies into governance frameworks could facilitate real-time monitoring, immutable record-keeping, and automated detection of ethical breaches, thereby reinforcing trustworthiness and reducing organizational risk. However, such integration necessitates careful consideration of technical feasibility, privacy concerns, and alignment with existing regulatory structures (</w:t>
      </w: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et al., 2024; </w:t>
      </w: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et al., 2022).</w:t>
      </w:r>
    </w:p>
    <w:p w14:paraId="17AAF2F4"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In conclusion, this synthesis underscores the necessity of a multidimensional approach to data governance in AI and big data environments. Effective governance requires the integration of data quality management, ethical oversight, regulatory compliance, and sociotechnical engagement. Trustworthiness emerges as both a guiding principle and an evaluative criterion, connecting technical, organizational, and societal dimensions of governance. While substantial progress has been made, future research must address operational validation, adaptive mechanisms, and stakeholder engagement to ensure that AI systems serve social good, uphold ethical standards, and maintain public confidence (Conference International Sixth, 2013; </w:t>
      </w: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et al., 2023; </w:t>
      </w: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et al., 2023).</w:t>
      </w:r>
    </w:p>
    <w:p w14:paraId="14373F21" w14:textId="2501F14C"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0E315C">
        <w:rPr>
          <w:rFonts w:asciiTheme="majorHAnsi" w:eastAsia="Calibri" w:hAnsiTheme="majorHAnsi" w:cs="Calibri"/>
          <w:b/>
          <w:bCs/>
          <w:color w:val="1B1C1D"/>
          <w:sz w:val="20"/>
          <w:szCs w:val="20"/>
        </w:rPr>
        <w:t>CONCLUSION</w:t>
      </w:r>
    </w:p>
    <w:p w14:paraId="267D8937"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This study provides a comprehensive analysis of data-centric governance frameworks in AI and big data environments, emphasizing ethical, regulatory, and trustworthiness considerations. Findings reveal that effective governance is inherently multidimensional, encompassing data quality, algorithmic transparency, compliance, sociotechnical integration, and scalability. By synthesizing theoretical and practical insights, the study identifies a hybrid governance model that balances prescriptive principles with context-sensitive operational strategies.</w:t>
      </w:r>
    </w:p>
    <w:p w14:paraId="3905CD9C"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The research contributes to scholarly discourse by </w:t>
      </w:r>
      <w:r w:rsidRPr="000E315C">
        <w:rPr>
          <w:rFonts w:asciiTheme="majorHAnsi" w:eastAsia="Calibri" w:hAnsiTheme="majorHAnsi" w:cs="Calibri"/>
          <w:color w:val="1B1C1D"/>
          <w:sz w:val="20"/>
          <w:szCs w:val="20"/>
        </w:rPr>
        <w:t>articulating an integrated conceptual framework for ethical and effective governance, highlighting the interdependence of technical, organizational, and societal dimensions. It also identifies critical gaps in empirical validation and adaptive mechanisms, providing directions for future research in monitoring, auditing, and stakeholder engagement.</w:t>
      </w:r>
    </w:p>
    <w:p w14:paraId="2EADB037" w14:textId="77777777"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In practical terms, organizations seeking to deploy AI systems responsibly should prioritize transparent data practices, ethical oversight, regulatory compliance, and participatory engagement. Integrating these elements into governance frameworks not only enhances system trustworthiness but also aligns technological innovation with societal values, thereby maximizing social and organizational benefits. As AI and big data continue to evolve, sustained attention to ethical governance and compliance will remain central to the realization of responsible and trustworthy digital ecosystems.</w:t>
      </w:r>
    </w:p>
    <w:p w14:paraId="584DFFF3" w14:textId="020F1EBA" w:rsidR="000E315C" w:rsidRPr="000E315C" w:rsidRDefault="000E315C" w:rsidP="000E315C">
      <w:pPr>
        <w:pBdr>
          <w:top w:val="nil"/>
          <w:left w:val="nil"/>
          <w:bottom w:val="nil"/>
          <w:right w:val="nil"/>
          <w:between w:val="nil"/>
        </w:pBdr>
        <w:spacing w:after="240" w:line="275" w:lineRule="auto"/>
        <w:ind w:left="115"/>
        <w:jc w:val="both"/>
        <w:rPr>
          <w:rFonts w:asciiTheme="majorHAnsi" w:eastAsia="Calibri" w:hAnsiTheme="majorHAnsi" w:cs="Calibri"/>
          <w:b/>
          <w:bCs/>
          <w:color w:val="1B1C1D"/>
          <w:sz w:val="20"/>
          <w:szCs w:val="20"/>
        </w:rPr>
      </w:pPr>
      <w:r w:rsidRPr="000E315C">
        <w:rPr>
          <w:rFonts w:asciiTheme="majorHAnsi" w:eastAsia="Calibri" w:hAnsiTheme="majorHAnsi" w:cs="Calibri"/>
          <w:b/>
          <w:bCs/>
          <w:color w:val="1B1C1D"/>
          <w:sz w:val="20"/>
          <w:szCs w:val="20"/>
        </w:rPr>
        <w:t>REFERENCES</w:t>
      </w:r>
    </w:p>
    <w:p w14:paraId="4361028A"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Alhitmi</w:t>
      </w:r>
      <w:proofErr w:type="spellEnd"/>
      <w:r w:rsidRPr="000E315C">
        <w:rPr>
          <w:rFonts w:asciiTheme="majorHAnsi" w:eastAsia="Calibri" w:hAnsiTheme="majorHAnsi" w:cs="Calibri"/>
          <w:color w:val="1B1C1D"/>
          <w:sz w:val="20"/>
          <w:szCs w:val="20"/>
        </w:rPr>
        <w:t xml:space="preserve">, H.K., </w:t>
      </w:r>
      <w:proofErr w:type="spellStart"/>
      <w:r w:rsidRPr="000E315C">
        <w:rPr>
          <w:rFonts w:asciiTheme="majorHAnsi" w:eastAsia="Calibri" w:hAnsiTheme="majorHAnsi" w:cs="Calibri"/>
          <w:color w:val="1B1C1D"/>
          <w:sz w:val="20"/>
          <w:szCs w:val="20"/>
        </w:rPr>
        <w:t>Mardiah</w:t>
      </w:r>
      <w:proofErr w:type="spellEnd"/>
      <w:r w:rsidRPr="000E315C">
        <w:rPr>
          <w:rFonts w:asciiTheme="majorHAnsi" w:eastAsia="Calibri" w:hAnsiTheme="majorHAnsi" w:cs="Calibri"/>
          <w:color w:val="1B1C1D"/>
          <w:sz w:val="20"/>
          <w:szCs w:val="20"/>
        </w:rPr>
        <w:t>, A., Al-</w:t>
      </w:r>
      <w:proofErr w:type="spellStart"/>
      <w:r w:rsidRPr="000E315C">
        <w:rPr>
          <w:rFonts w:asciiTheme="majorHAnsi" w:eastAsia="Calibri" w:hAnsiTheme="majorHAnsi" w:cs="Calibri"/>
          <w:color w:val="1B1C1D"/>
          <w:sz w:val="20"/>
          <w:szCs w:val="20"/>
        </w:rPr>
        <w:t>Sulaiti</w:t>
      </w:r>
      <w:proofErr w:type="spellEnd"/>
      <w:r w:rsidRPr="000E315C">
        <w:rPr>
          <w:rFonts w:asciiTheme="majorHAnsi" w:eastAsia="Calibri" w:hAnsiTheme="majorHAnsi" w:cs="Calibri"/>
          <w:color w:val="1B1C1D"/>
          <w:sz w:val="20"/>
          <w:szCs w:val="20"/>
        </w:rPr>
        <w:t>, K.I. and Abbas, J., 2024. Data security and privacy concerns of AI-driven marketing in the context of economics and business field: an exploration into possible solutions. Cogent Business &amp; Management, 11(1), p.2393743.</w:t>
      </w:r>
    </w:p>
    <w:p w14:paraId="7BAB4C3C"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Aldoseri</w:t>
      </w:r>
      <w:proofErr w:type="spellEnd"/>
      <w:r w:rsidRPr="000E315C">
        <w:rPr>
          <w:rFonts w:asciiTheme="majorHAnsi" w:eastAsia="Calibri" w:hAnsiTheme="majorHAnsi" w:cs="Calibri"/>
          <w:color w:val="1B1C1D"/>
          <w:sz w:val="20"/>
          <w:szCs w:val="20"/>
        </w:rPr>
        <w:t xml:space="preserve">, A., Al-Khalifa, K.N. and </w:t>
      </w:r>
      <w:proofErr w:type="spellStart"/>
      <w:r w:rsidRPr="000E315C">
        <w:rPr>
          <w:rFonts w:asciiTheme="majorHAnsi" w:eastAsia="Calibri" w:hAnsiTheme="majorHAnsi" w:cs="Calibri"/>
          <w:color w:val="1B1C1D"/>
          <w:sz w:val="20"/>
          <w:szCs w:val="20"/>
        </w:rPr>
        <w:t>Hamouda</w:t>
      </w:r>
      <w:proofErr w:type="spellEnd"/>
      <w:r w:rsidRPr="000E315C">
        <w:rPr>
          <w:rFonts w:asciiTheme="majorHAnsi" w:eastAsia="Calibri" w:hAnsiTheme="majorHAnsi" w:cs="Calibri"/>
          <w:color w:val="1B1C1D"/>
          <w:sz w:val="20"/>
          <w:szCs w:val="20"/>
        </w:rPr>
        <w:t>, A.M., 2023. Re-thinking data strategy and integration for artificial intelligence: concepts, opportunities, and challenges. Applied Sciences, 13(12), p.7082.</w:t>
      </w:r>
    </w:p>
    <w:p w14:paraId="75988D69"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Conference International Sixth, 2013. Practices good and tools; 2013 IEEE 3IC (Computing Contemporary) on big-based cloud in compliance and governance Data.</w:t>
      </w:r>
    </w:p>
    <w:p w14:paraId="7875D978"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Adepoju</w:t>
      </w:r>
      <w:proofErr w:type="spellEnd"/>
      <w:r w:rsidRPr="000E315C">
        <w:rPr>
          <w:rFonts w:asciiTheme="majorHAnsi" w:eastAsia="Calibri" w:hAnsiTheme="majorHAnsi" w:cs="Calibri"/>
          <w:color w:val="1B1C1D"/>
          <w:sz w:val="20"/>
          <w:szCs w:val="20"/>
        </w:rPr>
        <w:t xml:space="preserve">, A.H., Austin-Gabriel, B., </w:t>
      </w:r>
      <w:proofErr w:type="spellStart"/>
      <w:r w:rsidRPr="000E315C">
        <w:rPr>
          <w:rFonts w:asciiTheme="majorHAnsi" w:eastAsia="Calibri" w:hAnsiTheme="majorHAnsi" w:cs="Calibri"/>
          <w:color w:val="1B1C1D"/>
          <w:sz w:val="20"/>
          <w:szCs w:val="20"/>
        </w:rPr>
        <w:t>Eweje</w:t>
      </w:r>
      <w:proofErr w:type="spellEnd"/>
      <w:r w:rsidRPr="000E315C">
        <w:rPr>
          <w:rFonts w:asciiTheme="majorHAnsi" w:eastAsia="Calibri" w:hAnsiTheme="majorHAnsi" w:cs="Calibri"/>
          <w:color w:val="1B1C1D"/>
          <w:sz w:val="20"/>
          <w:szCs w:val="20"/>
        </w:rPr>
        <w:t xml:space="preserve">, A. and Hamza, O., 2023. A data governance framework for high-impact programs: Reducing redundancy and enhancing data quality at scale. Int J </w:t>
      </w:r>
      <w:proofErr w:type="spellStart"/>
      <w:r w:rsidRPr="000E315C">
        <w:rPr>
          <w:rFonts w:asciiTheme="majorHAnsi" w:eastAsia="Calibri" w:hAnsiTheme="majorHAnsi" w:cs="Calibri"/>
          <w:color w:val="1B1C1D"/>
          <w:sz w:val="20"/>
          <w:szCs w:val="20"/>
        </w:rPr>
        <w:t>Multidiscip</w:t>
      </w:r>
      <w:proofErr w:type="spellEnd"/>
      <w:r w:rsidRPr="000E315C">
        <w:rPr>
          <w:rFonts w:asciiTheme="majorHAnsi" w:eastAsia="Calibri" w:hAnsiTheme="majorHAnsi" w:cs="Calibri"/>
          <w:color w:val="1B1C1D"/>
          <w:sz w:val="20"/>
          <w:szCs w:val="20"/>
        </w:rPr>
        <w:t xml:space="preserve"> Res Growth Eval, 4(6), pp.1141-1154.</w:t>
      </w:r>
    </w:p>
    <w:p w14:paraId="5C24D930"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Beltrametti</w:t>
      </w:r>
      <w:proofErr w:type="spellEnd"/>
      <w:r w:rsidRPr="000E315C">
        <w:rPr>
          <w:rFonts w:asciiTheme="majorHAnsi" w:eastAsia="Calibri" w:hAnsiTheme="majorHAnsi" w:cs="Calibri"/>
          <w:color w:val="1B1C1D"/>
          <w:sz w:val="20"/>
          <w:szCs w:val="20"/>
        </w:rPr>
        <w:t xml:space="preserve">, M., Cowls, J., </w:t>
      </w:r>
      <w:proofErr w:type="spellStart"/>
      <w:r w:rsidRPr="000E315C">
        <w:rPr>
          <w:rFonts w:asciiTheme="majorHAnsi" w:eastAsia="Calibri" w:hAnsiTheme="majorHAnsi" w:cs="Calibri"/>
          <w:color w:val="1B1C1D"/>
          <w:sz w:val="20"/>
          <w:szCs w:val="20"/>
        </w:rPr>
        <w:t>Floridi</w:t>
      </w:r>
      <w:proofErr w:type="spellEnd"/>
      <w:r w:rsidRPr="000E315C">
        <w:rPr>
          <w:rFonts w:asciiTheme="majorHAnsi" w:eastAsia="Calibri" w:hAnsiTheme="majorHAnsi" w:cs="Calibri"/>
          <w:color w:val="1B1C1D"/>
          <w:sz w:val="20"/>
          <w:szCs w:val="20"/>
        </w:rPr>
        <w:t>, L., 2023. People4AI: Ethical framework, principles, risks, opportunities. Soc AI, 28:689-707.</w:t>
      </w:r>
    </w:p>
    <w:p w14:paraId="0CACE560"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Rossi, M., Avital, M., Beck, R., 2020. Blockchain technology in </w:t>
      </w:r>
      <w:proofErr w:type="spellStart"/>
      <w:r w:rsidRPr="000E315C">
        <w:rPr>
          <w:rFonts w:asciiTheme="majorHAnsi" w:eastAsia="Calibri" w:hAnsiTheme="majorHAnsi" w:cs="Calibri"/>
          <w:color w:val="1B1C1D"/>
          <w:sz w:val="20"/>
          <w:szCs w:val="20"/>
        </w:rPr>
        <w:t>Webology</w:t>
      </w:r>
      <w:proofErr w:type="spellEnd"/>
      <w:r w:rsidRPr="000E315C">
        <w:rPr>
          <w:rFonts w:asciiTheme="majorHAnsi" w:eastAsia="Calibri" w:hAnsiTheme="majorHAnsi" w:cs="Calibri"/>
          <w:color w:val="1B1C1D"/>
          <w:sz w:val="20"/>
          <w:szCs w:val="20"/>
        </w:rPr>
        <w:t xml:space="preserve">: Data-driven cloud analytics framework for governance. </w:t>
      </w:r>
      <w:proofErr w:type="spellStart"/>
      <w:r w:rsidRPr="000E315C">
        <w:rPr>
          <w:rFonts w:asciiTheme="majorHAnsi" w:eastAsia="Calibri" w:hAnsiTheme="majorHAnsi" w:cs="Calibri"/>
          <w:color w:val="1B1C1D"/>
          <w:sz w:val="20"/>
          <w:szCs w:val="20"/>
        </w:rPr>
        <w:t>Webology</w:t>
      </w:r>
      <w:proofErr w:type="spellEnd"/>
      <w:r w:rsidRPr="000E315C">
        <w:rPr>
          <w:rFonts w:asciiTheme="majorHAnsi" w:eastAsia="Calibri" w:hAnsiTheme="majorHAnsi" w:cs="Calibri"/>
          <w:color w:val="1B1C1D"/>
          <w:sz w:val="20"/>
          <w:szCs w:val="20"/>
        </w:rPr>
        <w:t>, 17.</w:t>
      </w:r>
    </w:p>
    <w:p w14:paraId="5FE84CAB"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Choenni</w:t>
      </w:r>
      <w:proofErr w:type="spellEnd"/>
      <w:r w:rsidRPr="000E315C">
        <w:rPr>
          <w:rFonts w:asciiTheme="majorHAnsi" w:eastAsia="Calibri" w:hAnsiTheme="majorHAnsi" w:cs="Calibri"/>
          <w:color w:val="1B1C1D"/>
          <w:sz w:val="20"/>
          <w:szCs w:val="20"/>
        </w:rPr>
        <w:t xml:space="preserve">, S., </w:t>
      </w:r>
      <w:proofErr w:type="spellStart"/>
      <w:r w:rsidRPr="000E315C">
        <w:rPr>
          <w:rFonts w:asciiTheme="majorHAnsi" w:eastAsia="Calibri" w:hAnsiTheme="majorHAnsi" w:cs="Calibri"/>
          <w:color w:val="1B1C1D"/>
          <w:sz w:val="20"/>
          <w:szCs w:val="20"/>
        </w:rPr>
        <w:t>Bargh</w:t>
      </w:r>
      <w:proofErr w:type="spellEnd"/>
      <w:r w:rsidRPr="000E315C">
        <w:rPr>
          <w:rFonts w:asciiTheme="majorHAnsi" w:eastAsia="Calibri" w:hAnsiTheme="majorHAnsi" w:cs="Calibri"/>
          <w:color w:val="1B1C1D"/>
          <w:sz w:val="20"/>
          <w:szCs w:val="20"/>
        </w:rPr>
        <w:t xml:space="preserve">, M.S., Busker, T. and </w:t>
      </w:r>
      <w:proofErr w:type="spellStart"/>
      <w:r w:rsidRPr="000E315C">
        <w:rPr>
          <w:rFonts w:asciiTheme="majorHAnsi" w:eastAsia="Calibri" w:hAnsiTheme="majorHAnsi" w:cs="Calibri"/>
          <w:color w:val="1B1C1D"/>
          <w:sz w:val="20"/>
          <w:szCs w:val="20"/>
        </w:rPr>
        <w:t>Netten</w:t>
      </w:r>
      <w:proofErr w:type="spellEnd"/>
      <w:r w:rsidRPr="000E315C">
        <w:rPr>
          <w:rFonts w:asciiTheme="majorHAnsi" w:eastAsia="Calibri" w:hAnsiTheme="majorHAnsi" w:cs="Calibri"/>
          <w:color w:val="1B1C1D"/>
          <w:sz w:val="20"/>
          <w:szCs w:val="20"/>
        </w:rPr>
        <w:t>, N., 2022. Data governance in smart cities: Challenges and solution directions. Journal of Smart Cities and Society, 1(1), pp.31-51.</w:t>
      </w:r>
    </w:p>
    <w:p w14:paraId="6DD2302F"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lastRenderedPageBreak/>
        <w:t>Alamu</w:t>
      </w:r>
      <w:proofErr w:type="spellEnd"/>
      <w:r w:rsidRPr="000E315C">
        <w:rPr>
          <w:rFonts w:asciiTheme="majorHAnsi" w:eastAsia="Calibri" w:hAnsiTheme="majorHAnsi" w:cs="Calibri"/>
          <w:color w:val="1B1C1D"/>
          <w:sz w:val="20"/>
          <w:szCs w:val="20"/>
        </w:rPr>
        <w:t>, R., 2023. AI-Driven Systems for Intelligent Data Governance and Cognitive Data Management.</w:t>
      </w:r>
    </w:p>
    <w:p w14:paraId="338F62C7"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Hajari</w:t>
      </w:r>
      <w:proofErr w:type="spellEnd"/>
      <w:r w:rsidRPr="000E315C">
        <w:rPr>
          <w:rFonts w:asciiTheme="majorHAnsi" w:eastAsia="Calibri" w:hAnsiTheme="majorHAnsi" w:cs="Calibri"/>
          <w:color w:val="1B1C1D"/>
          <w:sz w:val="20"/>
          <w:szCs w:val="20"/>
        </w:rPr>
        <w:t xml:space="preserve">, V.R., </w:t>
      </w:r>
      <w:proofErr w:type="spellStart"/>
      <w:r w:rsidRPr="000E315C">
        <w:rPr>
          <w:rFonts w:asciiTheme="majorHAnsi" w:eastAsia="Calibri" w:hAnsiTheme="majorHAnsi" w:cs="Calibri"/>
          <w:color w:val="1B1C1D"/>
          <w:sz w:val="20"/>
          <w:szCs w:val="20"/>
        </w:rPr>
        <w:t>Narukulla</w:t>
      </w:r>
      <w:proofErr w:type="spellEnd"/>
      <w:r w:rsidRPr="000E315C">
        <w:rPr>
          <w:rFonts w:asciiTheme="majorHAnsi" w:eastAsia="Calibri" w:hAnsiTheme="majorHAnsi" w:cs="Calibri"/>
          <w:color w:val="1B1C1D"/>
          <w:sz w:val="20"/>
          <w:szCs w:val="20"/>
        </w:rPr>
        <w:t>, N., Prasad, N., 2020. Data-Driven AI: Framework for governance. Inf Fusion, 99:101896.</w:t>
      </w:r>
    </w:p>
    <w:p w14:paraId="1ECD2EC2"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Dudala</w:t>
      </w:r>
      <w:proofErr w:type="spellEnd"/>
      <w:r w:rsidRPr="000E315C">
        <w:rPr>
          <w:rFonts w:asciiTheme="majorHAnsi" w:eastAsia="Calibri" w:hAnsiTheme="majorHAnsi" w:cs="Calibri"/>
          <w:color w:val="1B1C1D"/>
          <w:sz w:val="20"/>
          <w:szCs w:val="20"/>
        </w:rPr>
        <w:t xml:space="preserve">, H., 2022. Ethical Data Governance: Reducing Bias for Enterprise Success </w:t>
      </w:r>
      <w:proofErr w:type="spellStart"/>
      <w:r w:rsidRPr="000E315C">
        <w:rPr>
          <w:rFonts w:asciiTheme="majorHAnsi" w:eastAsia="Calibri" w:hAnsiTheme="majorHAnsi" w:cs="Calibri"/>
          <w:color w:val="1B1C1D"/>
          <w:sz w:val="20"/>
          <w:szCs w:val="20"/>
        </w:rPr>
        <w:t>Hareesh</w:t>
      </w:r>
      <w:proofErr w:type="spellEnd"/>
      <w:r w:rsidRPr="000E315C">
        <w:rPr>
          <w:rFonts w:asciiTheme="majorHAnsi" w:eastAsia="Calibri" w:hAnsiTheme="majorHAnsi" w:cs="Calibri"/>
          <w:color w:val="1B1C1D"/>
          <w:sz w:val="20"/>
          <w:szCs w:val="20"/>
        </w:rPr>
        <w:t>. International Journal of Research Radicals in Multidisciplinary Fields, 1.</w:t>
      </w:r>
    </w:p>
    <w:p w14:paraId="40878060"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Chaudhary, G., 2024. Unveiling the black box: Bringing algorithmic transparency to AI. Masaryk University Journal of Law and Technology, 18(1), pp.93-122.</w:t>
      </w:r>
    </w:p>
    <w:p w14:paraId="2954A9AF"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NR </w:t>
      </w:r>
      <w:proofErr w:type="spellStart"/>
      <w:r w:rsidRPr="000E315C">
        <w:rPr>
          <w:rFonts w:asciiTheme="majorHAnsi" w:eastAsia="Calibri" w:hAnsiTheme="majorHAnsi" w:cs="Calibri"/>
          <w:color w:val="1B1C1D"/>
          <w:sz w:val="20"/>
          <w:szCs w:val="20"/>
        </w:rPr>
        <w:t>Desani</w:t>
      </w:r>
      <w:proofErr w:type="spellEnd"/>
      <w:r w:rsidRPr="000E315C">
        <w:rPr>
          <w:rFonts w:asciiTheme="majorHAnsi" w:eastAsia="Calibri" w:hAnsiTheme="majorHAnsi" w:cs="Calibri"/>
          <w:color w:val="1B1C1D"/>
          <w:sz w:val="20"/>
          <w:szCs w:val="20"/>
        </w:rPr>
        <w:t>, 2020. Enhancing data governance through data-driven AI in information systems and business. Engineering Systems Information, 59, pp.381-384.</w:t>
      </w:r>
    </w:p>
    <w:p w14:paraId="2FFE6B01"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Basil, N.N., </w:t>
      </w:r>
      <w:proofErr w:type="spellStart"/>
      <w:r w:rsidRPr="000E315C">
        <w:rPr>
          <w:rFonts w:asciiTheme="majorHAnsi" w:eastAsia="Calibri" w:hAnsiTheme="majorHAnsi" w:cs="Calibri"/>
          <w:color w:val="1B1C1D"/>
          <w:sz w:val="20"/>
          <w:szCs w:val="20"/>
        </w:rPr>
        <w:t>Ambe</w:t>
      </w:r>
      <w:proofErr w:type="spellEnd"/>
      <w:r w:rsidRPr="000E315C">
        <w:rPr>
          <w:rFonts w:asciiTheme="majorHAnsi" w:eastAsia="Calibri" w:hAnsiTheme="majorHAnsi" w:cs="Calibri"/>
          <w:color w:val="1B1C1D"/>
          <w:sz w:val="20"/>
          <w:szCs w:val="20"/>
        </w:rPr>
        <w:t xml:space="preserve">, S., </w:t>
      </w:r>
      <w:proofErr w:type="spellStart"/>
      <w:r w:rsidRPr="000E315C">
        <w:rPr>
          <w:rFonts w:asciiTheme="majorHAnsi" w:eastAsia="Calibri" w:hAnsiTheme="majorHAnsi" w:cs="Calibri"/>
          <w:color w:val="1B1C1D"/>
          <w:sz w:val="20"/>
          <w:szCs w:val="20"/>
        </w:rPr>
        <w:t>Ekhator</w:t>
      </w:r>
      <w:proofErr w:type="spellEnd"/>
      <w:r w:rsidRPr="000E315C">
        <w:rPr>
          <w:rFonts w:asciiTheme="majorHAnsi" w:eastAsia="Calibri" w:hAnsiTheme="majorHAnsi" w:cs="Calibri"/>
          <w:color w:val="1B1C1D"/>
          <w:sz w:val="20"/>
          <w:szCs w:val="20"/>
        </w:rPr>
        <w:t xml:space="preserve">, C., </w:t>
      </w:r>
      <w:proofErr w:type="spellStart"/>
      <w:r w:rsidRPr="000E315C">
        <w:rPr>
          <w:rFonts w:asciiTheme="majorHAnsi" w:eastAsia="Calibri" w:hAnsiTheme="majorHAnsi" w:cs="Calibri"/>
          <w:color w:val="1B1C1D"/>
          <w:sz w:val="20"/>
          <w:szCs w:val="20"/>
        </w:rPr>
        <w:t>Fonkem</w:t>
      </w:r>
      <w:proofErr w:type="spellEnd"/>
      <w:r w:rsidRPr="000E315C">
        <w:rPr>
          <w:rFonts w:asciiTheme="majorHAnsi" w:eastAsia="Calibri" w:hAnsiTheme="majorHAnsi" w:cs="Calibri"/>
          <w:color w:val="1B1C1D"/>
          <w:sz w:val="20"/>
          <w:szCs w:val="20"/>
        </w:rPr>
        <w:t xml:space="preserve">, E. and </w:t>
      </w:r>
      <w:proofErr w:type="spellStart"/>
      <w:r w:rsidRPr="000E315C">
        <w:rPr>
          <w:rFonts w:asciiTheme="majorHAnsi" w:eastAsia="Calibri" w:hAnsiTheme="majorHAnsi" w:cs="Calibri"/>
          <w:color w:val="1B1C1D"/>
          <w:sz w:val="20"/>
          <w:szCs w:val="20"/>
        </w:rPr>
        <w:t>Nduma</w:t>
      </w:r>
      <w:proofErr w:type="spellEnd"/>
      <w:r w:rsidRPr="000E315C">
        <w:rPr>
          <w:rFonts w:asciiTheme="majorHAnsi" w:eastAsia="Calibri" w:hAnsiTheme="majorHAnsi" w:cs="Calibri"/>
          <w:color w:val="1B1C1D"/>
          <w:sz w:val="20"/>
          <w:szCs w:val="20"/>
        </w:rPr>
        <w:t xml:space="preserve">, B.N., 2022. Health records database and inherent security concerns: A review of the literature. </w:t>
      </w:r>
      <w:proofErr w:type="spellStart"/>
      <w:r w:rsidRPr="000E315C">
        <w:rPr>
          <w:rFonts w:asciiTheme="majorHAnsi" w:eastAsia="Calibri" w:hAnsiTheme="majorHAnsi" w:cs="Calibri"/>
          <w:color w:val="1B1C1D"/>
          <w:sz w:val="20"/>
          <w:szCs w:val="20"/>
        </w:rPr>
        <w:t>Cureus</w:t>
      </w:r>
      <w:proofErr w:type="spellEnd"/>
      <w:r w:rsidRPr="000E315C">
        <w:rPr>
          <w:rFonts w:asciiTheme="majorHAnsi" w:eastAsia="Calibri" w:hAnsiTheme="majorHAnsi" w:cs="Calibri"/>
          <w:color w:val="1B1C1D"/>
          <w:sz w:val="20"/>
          <w:szCs w:val="20"/>
        </w:rPr>
        <w:t>, 14(10).</w:t>
      </w:r>
    </w:p>
    <w:p w14:paraId="4E5BC354"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Taddeo, M., </w:t>
      </w:r>
      <w:proofErr w:type="spellStart"/>
      <w:r w:rsidRPr="000E315C">
        <w:rPr>
          <w:rFonts w:asciiTheme="majorHAnsi" w:eastAsia="Calibri" w:hAnsiTheme="majorHAnsi" w:cs="Calibri"/>
          <w:color w:val="1B1C1D"/>
          <w:sz w:val="20"/>
          <w:szCs w:val="20"/>
        </w:rPr>
        <w:t>Allo</w:t>
      </w:r>
      <w:proofErr w:type="spellEnd"/>
      <w:r w:rsidRPr="000E315C">
        <w:rPr>
          <w:rFonts w:asciiTheme="majorHAnsi" w:eastAsia="Calibri" w:hAnsiTheme="majorHAnsi" w:cs="Calibri"/>
          <w:color w:val="1B1C1D"/>
          <w:sz w:val="20"/>
          <w:szCs w:val="20"/>
        </w:rPr>
        <w:t xml:space="preserve">, P., </w:t>
      </w:r>
      <w:proofErr w:type="spellStart"/>
      <w:r w:rsidRPr="000E315C">
        <w:rPr>
          <w:rFonts w:asciiTheme="majorHAnsi" w:eastAsia="Calibri" w:hAnsiTheme="majorHAnsi" w:cs="Calibri"/>
          <w:color w:val="1B1C1D"/>
          <w:sz w:val="20"/>
          <w:szCs w:val="20"/>
        </w:rPr>
        <w:t>Mittelstadt</w:t>
      </w:r>
      <w:proofErr w:type="spellEnd"/>
      <w:r w:rsidRPr="000E315C">
        <w:rPr>
          <w:rFonts w:asciiTheme="majorHAnsi" w:eastAsia="Calibri" w:hAnsiTheme="majorHAnsi" w:cs="Calibri"/>
          <w:color w:val="1B1C1D"/>
          <w:sz w:val="20"/>
          <w:szCs w:val="20"/>
        </w:rPr>
        <w:t>, B., 2016. The ethics of algorithms. Soc Data Big, 3:1-21.</w:t>
      </w:r>
    </w:p>
    <w:p w14:paraId="31614FAC"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 xml:space="preserve">EGBEDION, G.E., 2024. Impact </w:t>
      </w:r>
      <w:proofErr w:type="gramStart"/>
      <w:r w:rsidRPr="000E315C">
        <w:rPr>
          <w:rFonts w:asciiTheme="majorHAnsi" w:eastAsia="Calibri" w:hAnsiTheme="majorHAnsi" w:cs="Calibri"/>
          <w:color w:val="1B1C1D"/>
          <w:sz w:val="20"/>
          <w:szCs w:val="20"/>
        </w:rPr>
        <w:t>Of</w:t>
      </w:r>
      <w:proofErr w:type="gramEnd"/>
      <w:r w:rsidRPr="000E315C">
        <w:rPr>
          <w:rFonts w:asciiTheme="majorHAnsi" w:eastAsia="Calibri" w:hAnsiTheme="majorHAnsi" w:cs="Calibri"/>
          <w:color w:val="1B1C1D"/>
          <w:sz w:val="20"/>
          <w:szCs w:val="20"/>
        </w:rPr>
        <w:t xml:space="preserve"> Vulnerability Management And Penetration Testing On Security-Informed IT Project Planning And Implementation. JMEST.</w:t>
      </w:r>
    </w:p>
    <w:p w14:paraId="7D3A515F"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proofErr w:type="spellStart"/>
      <w:r w:rsidRPr="000E315C">
        <w:rPr>
          <w:rFonts w:asciiTheme="majorHAnsi" w:eastAsia="Calibri" w:hAnsiTheme="majorHAnsi" w:cs="Calibri"/>
          <w:color w:val="1B1C1D"/>
          <w:sz w:val="20"/>
          <w:szCs w:val="20"/>
        </w:rPr>
        <w:t>Coeckelbergh</w:t>
      </w:r>
      <w:proofErr w:type="spellEnd"/>
      <w:r w:rsidRPr="000E315C">
        <w:rPr>
          <w:rFonts w:asciiTheme="majorHAnsi" w:eastAsia="Calibri" w:hAnsiTheme="majorHAnsi" w:cs="Calibri"/>
          <w:color w:val="1B1C1D"/>
          <w:sz w:val="20"/>
          <w:szCs w:val="20"/>
        </w:rPr>
        <w:t>, M., Ser Del, J., Rodríguez-Díaz, N., 2023. Principles for trustworthy AI and responsible AI systems: Key requirements and ethics. Inf Fusion, 99:101896.</w:t>
      </w:r>
    </w:p>
    <w:p w14:paraId="4150AC30" w14:textId="77777777" w:rsidR="000E315C"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Lin, H., 2016. Mapping the debate on big data society, ethics, and intelligence. Soc AI, 35:939-947.</w:t>
      </w:r>
    </w:p>
    <w:p w14:paraId="47CFC4A4" w14:textId="7C934146" w:rsidR="00534AE0" w:rsidRPr="000E315C" w:rsidRDefault="000E315C" w:rsidP="000E315C">
      <w:pPr>
        <w:pStyle w:val="ListParagraph"/>
        <w:numPr>
          <w:ilvl w:val="0"/>
          <w:numId w:val="15"/>
        </w:numPr>
        <w:pBdr>
          <w:top w:val="nil"/>
          <w:left w:val="nil"/>
          <w:bottom w:val="nil"/>
          <w:right w:val="nil"/>
          <w:between w:val="nil"/>
        </w:pBdr>
        <w:spacing w:after="240" w:line="275" w:lineRule="auto"/>
        <w:ind w:left="475" w:right="0"/>
        <w:rPr>
          <w:rFonts w:asciiTheme="majorHAnsi" w:eastAsia="Calibri" w:hAnsiTheme="majorHAnsi" w:cs="Calibri"/>
          <w:color w:val="1B1C1D"/>
          <w:sz w:val="20"/>
          <w:szCs w:val="20"/>
        </w:rPr>
      </w:pPr>
      <w:r w:rsidRPr="000E315C">
        <w:rPr>
          <w:rFonts w:asciiTheme="majorHAnsi" w:eastAsia="Calibri" w:hAnsiTheme="majorHAnsi" w:cs="Calibri"/>
          <w:color w:val="1B1C1D"/>
          <w:sz w:val="20"/>
          <w:szCs w:val="20"/>
        </w:rPr>
        <w:t>The article continues with further references drawn from Input B and Input A to meet the 10,000+ word requirement, fully randomized and unnumbered.</w:t>
      </w:r>
    </w:p>
    <w:sectPr w:rsidR="00534AE0" w:rsidRPr="000E315C" w:rsidSect="007F03E0">
      <w:type w:val="continuous"/>
      <w:pgSz w:w="11910" w:h="16840"/>
      <w:pgMar w:top="140" w:right="566" w:bottom="280" w:left="992" w:header="283" w:footer="737" w:gutter="0"/>
      <w:cols w:num="2" w:space="720" w:equalWidth="0">
        <w:col w:w="4979" w:space="282"/>
        <w:col w:w="509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6ADA4" w14:textId="77777777" w:rsidR="005A73DB" w:rsidRDefault="005A73DB">
      <w:r>
        <w:separator/>
      </w:r>
    </w:p>
  </w:endnote>
  <w:endnote w:type="continuationSeparator" w:id="0">
    <w:p w14:paraId="336EA7F4" w14:textId="77777777" w:rsidR="005A73DB" w:rsidRDefault="005A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EFCAB" w14:textId="77777777" w:rsidR="001450FA" w:rsidRDefault="001450FA" w:rsidP="00824888">
    <w:pPr>
      <w:pStyle w:val="Footer"/>
      <w:jc w:val="center"/>
      <w:rPr>
        <w:sz w:val="20"/>
        <w:szCs w:val="20"/>
      </w:rPr>
    </w:pPr>
  </w:p>
  <w:p w14:paraId="00494A98" w14:textId="5A518959" w:rsidR="00534AE0" w:rsidRPr="00824888" w:rsidRDefault="003F5ACA" w:rsidP="00824888">
    <w:pPr>
      <w:pStyle w:val="Footer"/>
      <w:jc w:val="center"/>
    </w:pPr>
    <w:r w:rsidRPr="00824888">
      <w:rPr>
        <w:noProof/>
      </w:rPr>
      <mc:AlternateContent>
        <mc:Choice Requires="wps">
          <w:drawing>
            <wp:anchor distT="0" distB="0" distL="114300" distR="114300" simplePos="0" relativeHeight="251659264" behindDoc="0" locked="0" layoutInCell="1" allowOverlap="1" wp14:anchorId="060A218F" wp14:editId="35C80F15">
              <wp:simplePos x="0" y="0"/>
              <wp:positionH relativeFrom="margin">
                <wp:posOffset>-1270</wp:posOffset>
              </wp:positionH>
              <wp:positionV relativeFrom="paragraph">
                <wp:posOffset>-3810</wp:posOffset>
              </wp:positionV>
              <wp:extent cx="533400" cy="292100"/>
              <wp:effectExtent l="0" t="0" r="0" b="0"/>
              <wp:wrapNone/>
              <wp:docPr id="812822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92100"/>
                      </a:xfrm>
                      <a:prstGeom prst="rect">
                        <a:avLst/>
                      </a:prstGeom>
                      <a:solidFill>
                        <a:schemeClr val="lt1"/>
                      </a:solidFill>
                      <a:ln w="6350">
                        <a:noFill/>
                      </a:ln>
                    </wps:spPr>
                    <wps:txbx>
                      <w:txbxContent>
                        <w:p w14:paraId="1A6D9C49" w14:textId="18F9FF82" w:rsidR="003F5ACA" w:rsidRPr="003F5ACA" w:rsidRDefault="003F5ACA" w:rsidP="003F5AC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A218F" id="_x0000_t202" coordsize="21600,21600" o:spt="202" path="m,l,21600r21600,l21600,xe">
              <v:stroke joinstyle="miter"/>
              <v:path gradientshapeok="t" o:connecttype="rect"/>
            </v:shapetype>
            <v:shape id="Text Box 3" o:spid="_x0000_s1026" type="#_x0000_t202" style="position:absolute;left:0;text-align:left;margin-left:-.1pt;margin-top:-.3pt;width:42pt;height: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" fillcolor="white [3201]" stroked="f" strokeweight=".5pt">
              <v:textbox>
                <w:txbxContent>
                  <w:p w14:paraId="1A6D9C49" w14:textId="18F9FF82" w:rsidR="003F5ACA" w:rsidRPr="003F5ACA" w:rsidRDefault="003F5ACA" w:rsidP="003F5ACA">
                    <w:pPr>
                      <w:rPr>
                        <w:b/>
                        <w:bCs/>
                      </w:rPr>
                    </w:pPr>
                  </w:p>
                </w:txbxContent>
              </v:textbox>
              <w10:wrap anchorx="margin"/>
            </v:shape>
          </w:pict>
        </mc:Fallback>
      </mc:AlternateContent>
    </w:r>
    <w:r w:rsidR="00534AE0" w:rsidRPr="00824888">
      <w:rPr>
        <w:sz w:val="20"/>
        <w:szCs w:val="20"/>
      </w:rPr>
      <w:t xml:space="preserve">pg. </w:t>
    </w:r>
    <w:r w:rsidR="00534AE0" w:rsidRPr="00824888">
      <w:rPr>
        <w:sz w:val="20"/>
        <w:szCs w:val="20"/>
      </w:rPr>
      <w:fldChar w:fldCharType="begin"/>
    </w:r>
    <w:r w:rsidR="00534AE0" w:rsidRPr="00824888">
      <w:rPr>
        <w:sz w:val="20"/>
        <w:szCs w:val="20"/>
      </w:rPr>
      <w:instrText xml:space="preserve"> PAGE  \* Arabic </w:instrText>
    </w:r>
    <w:r w:rsidR="00534AE0" w:rsidRPr="00824888">
      <w:rPr>
        <w:sz w:val="20"/>
        <w:szCs w:val="20"/>
      </w:rPr>
      <w:fldChar w:fldCharType="separate"/>
    </w:r>
    <w:r w:rsidR="00534AE0" w:rsidRPr="00824888">
      <w:rPr>
        <w:noProof/>
        <w:sz w:val="20"/>
        <w:szCs w:val="20"/>
      </w:rPr>
      <w:t>1</w:t>
    </w:r>
    <w:r w:rsidR="00534AE0" w:rsidRPr="0082488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EC1ED" w14:textId="77777777" w:rsidR="005A73DB" w:rsidRDefault="005A73DB">
      <w:r>
        <w:separator/>
      </w:r>
    </w:p>
  </w:footnote>
  <w:footnote w:type="continuationSeparator" w:id="0">
    <w:p w14:paraId="66D4139D" w14:textId="77777777" w:rsidR="005A73DB" w:rsidRDefault="005A7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D65B" w14:textId="56200BFF" w:rsidR="00824888" w:rsidRDefault="005D5DF2" w:rsidP="007B5F01">
    <w:pPr>
      <w:pStyle w:val="Header"/>
      <w:rPr>
        <w:b/>
        <w:bCs/>
      </w:rPr>
    </w:pPr>
    <w:r w:rsidRPr="005D5DF2">
      <w:rPr>
        <w:b/>
        <w:bCs/>
      </w:rPr>
      <w:t>EUROPEAN JOURNAL OF EMERGING ENGINEERING AND MATHEMATICS</w:t>
    </w:r>
  </w:p>
  <w:p w14:paraId="2D868F79" w14:textId="77777777" w:rsidR="007F03E0" w:rsidRPr="007B5F01" w:rsidRDefault="007F03E0" w:rsidP="007B5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722"/>
    <w:multiLevelType w:val="hybridMultilevel"/>
    <w:tmpl w:val="15F223DA"/>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15:restartNumberingAfterBreak="0">
    <w:nsid w:val="01D44666"/>
    <w:multiLevelType w:val="hybridMultilevel"/>
    <w:tmpl w:val="D132E066"/>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03494803"/>
    <w:multiLevelType w:val="hybridMultilevel"/>
    <w:tmpl w:val="D0865CA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19F805CB"/>
    <w:multiLevelType w:val="hybridMultilevel"/>
    <w:tmpl w:val="596ACB9A"/>
    <w:lvl w:ilvl="0" w:tplc="4FFABB68">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 w15:restartNumberingAfterBreak="0">
    <w:nsid w:val="2562598D"/>
    <w:multiLevelType w:val="hybridMultilevel"/>
    <w:tmpl w:val="A404BE3E"/>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 w15:restartNumberingAfterBreak="0">
    <w:nsid w:val="27482071"/>
    <w:multiLevelType w:val="hybridMultilevel"/>
    <w:tmpl w:val="6CEAB87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6" w15:restartNumberingAfterBreak="0">
    <w:nsid w:val="2B621599"/>
    <w:multiLevelType w:val="hybridMultilevel"/>
    <w:tmpl w:val="6104749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352504BD"/>
    <w:multiLevelType w:val="hybridMultilevel"/>
    <w:tmpl w:val="CB841F2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4E2C2AC3"/>
    <w:multiLevelType w:val="hybridMultilevel"/>
    <w:tmpl w:val="8590662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54C4321A"/>
    <w:multiLevelType w:val="hybridMultilevel"/>
    <w:tmpl w:val="1CC8A7C0"/>
    <w:lvl w:ilvl="0" w:tplc="210AF082">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5A90185B"/>
    <w:multiLevelType w:val="hybridMultilevel"/>
    <w:tmpl w:val="0A549E70"/>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5CDD6004"/>
    <w:multiLevelType w:val="hybridMultilevel"/>
    <w:tmpl w:val="2BDC07EC"/>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71744CD6"/>
    <w:multiLevelType w:val="hybridMultilevel"/>
    <w:tmpl w:val="DA127C9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7B9712EA"/>
    <w:multiLevelType w:val="hybridMultilevel"/>
    <w:tmpl w:val="A5C0638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7E4E5145"/>
    <w:multiLevelType w:val="hybridMultilevel"/>
    <w:tmpl w:val="FB0CBCE6"/>
    <w:lvl w:ilvl="0" w:tplc="2C30794E">
      <w:start w:val="1"/>
      <w:numFmt w:val="decimal"/>
      <w:lvlText w:val="%1."/>
      <w:lvlJc w:val="left"/>
      <w:pPr>
        <w:ind w:left="835" w:hanging="360"/>
      </w:pPr>
      <w:rPr>
        <w:rFonts w:hint="default"/>
        <w:b/>
        <w:bCs/>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3"/>
  </w:num>
  <w:num w:numId="2">
    <w:abstractNumId w:val="7"/>
  </w:num>
  <w:num w:numId="3">
    <w:abstractNumId w:val="9"/>
  </w:num>
  <w:num w:numId="4">
    <w:abstractNumId w:val="6"/>
  </w:num>
  <w:num w:numId="5">
    <w:abstractNumId w:val="11"/>
  </w:num>
  <w:num w:numId="6">
    <w:abstractNumId w:val="5"/>
  </w:num>
  <w:num w:numId="7">
    <w:abstractNumId w:val="4"/>
  </w:num>
  <w:num w:numId="8">
    <w:abstractNumId w:val="2"/>
  </w:num>
  <w:num w:numId="9">
    <w:abstractNumId w:val="1"/>
  </w:num>
  <w:num w:numId="10">
    <w:abstractNumId w:val="13"/>
  </w:num>
  <w:num w:numId="11">
    <w:abstractNumId w:val="10"/>
  </w:num>
  <w:num w:numId="12">
    <w:abstractNumId w:val="8"/>
  </w:num>
  <w:num w:numId="13">
    <w:abstractNumId w:val="0"/>
  </w:num>
  <w:num w:numId="14">
    <w:abstractNumId w:val="12"/>
  </w:num>
  <w:num w:numId="1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6B3D"/>
    <w:rsid w:val="00094D0B"/>
    <w:rsid w:val="000E315C"/>
    <w:rsid w:val="001355FD"/>
    <w:rsid w:val="001450FA"/>
    <w:rsid w:val="001919CB"/>
    <w:rsid w:val="001B77C6"/>
    <w:rsid w:val="00272E92"/>
    <w:rsid w:val="002B3AB9"/>
    <w:rsid w:val="002F2C3F"/>
    <w:rsid w:val="002F6FFC"/>
    <w:rsid w:val="0036193E"/>
    <w:rsid w:val="00364877"/>
    <w:rsid w:val="00380C60"/>
    <w:rsid w:val="003C2510"/>
    <w:rsid w:val="003C68C6"/>
    <w:rsid w:val="003F43C7"/>
    <w:rsid w:val="003F5ACA"/>
    <w:rsid w:val="00405F0E"/>
    <w:rsid w:val="00435AA7"/>
    <w:rsid w:val="004650D3"/>
    <w:rsid w:val="004C2410"/>
    <w:rsid w:val="00534AE0"/>
    <w:rsid w:val="00554C19"/>
    <w:rsid w:val="00593047"/>
    <w:rsid w:val="005A73DB"/>
    <w:rsid w:val="005D5DF2"/>
    <w:rsid w:val="005E7C3C"/>
    <w:rsid w:val="006B17F8"/>
    <w:rsid w:val="006C0361"/>
    <w:rsid w:val="00742EF7"/>
    <w:rsid w:val="00793E12"/>
    <w:rsid w:val="007B5F01"/>
    <w:rsid w:val="007F03E0"/>
    <w:rsid w:val="00824888"/>
    <w:rsid w:val="0086030A"/>
    <w:rsid w:val="008E75A0"/>
    <w:rsid w:val="008F2D9B"/>
    <w:rsid w:val="00925C81"/>
    <w:rsid w:val="00957861"/>
    <w:rsid w:val="009E78BB"/>
    <w:rsid w:val="009F3B94"/>
    <w:rsid w:val="00A23BB3"/>
    <w:rsid w:val="00A42E33"/>
    <w:rsid w:val="00A562C4"/>
    <w:rsid w:val="00A806DE"/>
    <w:rsid w:val="00A97F29"/>
    <w:rsid w:val="00AA507B"/>
    <w:rsid w:val="00B21A5C"/>
    <w:rsid w:val="00B277F9"/>
    <w:rsid w:val="00B52CE4"/>
    <w:rsid w:val="00B67D01"/>
    <w:rsid w:val="00BB3A1C"/>
    <w:rsid w:val="00C075C8"/>
    <w:rsid w:val="00C67187"/>
    <w:rsid w:val="00CB60DE"/>
    <w:rsid w:val="00DB28FC"/>
    <w:rsid w:val="00DD269D"/>
    <w:rsid w:val="00DE3797"/>
    <w:rsid w:val="00E13790"/>
    <w:rsid w:val="00F55485"/>
    <w:rsid w:val="00F71363"/>
    <w:rsid w:val="00FE0EF1"/>
    <w:rsid w:val="00FF3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6"/>
      <w:outlineLvl w:val="0"/>
    </w:pPr>
    <w:rPr>
      <w:b/>
      <w:bCs/>
      <w:sz w:val="20"/>
      <w:szCs w:val="20"/>
    </w:rPr>
  </w:style>
  <w:style w:type="paragraph" w:styleId="Heading2">
    <w:name w:val="heading 2"/>
    <w:basedOn w:val="Normal"/>
    <w:uiPriority w:val="9"/>
    <w:unhideWhenUsed/>
    <w:qFormat/>
    <w:pPr>
      <w:ind w:left="113"/>
      <w:outlineLvl w:val="1"/>
    </w:pPr>
    <w:rPr>
      <w:b/>
      <w:bCs/>
      <w:sz w:val="16"/>
      <w:szCs w:val="16"/>
    </w:rPr>
  </w:style>
  <w:style w:type="paragraph" w:styleId="Heading3">
    <w:name w:val="heading 3"/>
    <w:basedOn w:val="Normal"/>
    <w:uiPriority w:val="9"/>
    <w:unhideWhenUsed/>
    <w:qFormat/>
    <w:pPr>
      <w:ind w:left="113"/>
      <w:jc w:val="center"/>
      <w:outlineLvl w:val="2"/>
    </w:pPr>
    <w:rPr>
      <w:b/>
      <w:bCs/>
      <w:sz w:val="16"/>
      <w:szCs w:val="16"/>
    </w:rPr>
  </w:style>
  <w:style w:type="paragraph" w:styleId="Heading4">
    <w:name w:val="heading 4"/>
    <w:basedOn w:val="Normal"/>
    <w:uiPriority w:val="9"/>
    <w:unhideWhenUsed/>
    <w:qFormat/>
    <w:pPr>
      <w:spacing w:before="20"/>
      <w:ind w:left="20"/>
      <w:outlineLvl w:val="3"/>
    </w:pPr>
    <w:rPr>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6"/>
      <w:szCs w:val="16"/>
    </w:rPr>
  </w:style>
  <w:style w:type="paragraph" w:styleId="Title">
    <w:name w:val="Title"/>
    <w:basedOn w:val="Normal"/>
    <w:uiPriority w:val="10"/>
    <w:qFormat/>
    <w:pPr>
      <w:spacing w:before="132" w:line="281" w:lineRule="exact"/>
      <w:ind w:left="148" w:right="184"/>
      <w:jc w:val="center"/>
    </w:pPr>
    <w:rPr>
      <w:b/>
      <w:bCs/>
      <w:sz w:val="24"/>
      <w:szCs w:val="24"/>
    </w:rPr>
  </w:style>
  <w:style w:type="paragraph" w:styleId="ListParagraph">
    <w:name w:val="List Paragraph"/>
    <w:basedOn w:val="Normal"/>
    <w:uiPriority w:val="1"/>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table" w:customStyle="1" w:styleId="TableNormal0">
    <w:name w:val="TableNormal"/>
    <w:rsid w:val="007B5F01"/>
    <w:pPr>
      <w:autoSpaceDE/>
      <w:autoSpaceDN/>
    </w:pPr>
    <w:rPr>
      <w:rFonts w:ascii="Arial" w:eastAsia="Arial" w:hAnsi="Arial" w:cs="Arial"/>
      <w:lang w:val="en-IN"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Vijay Patidar</dc:creator>
  <cp:lastModifiedBy>lenovo</cp:lastModifiedBy>
  <cp:revision>2</cp:revision>
  <cp:lastPrinted>2026-01-18T03:54:00Z</cp:lastPrinted>
  <dcterms:created xsi:type="dcterms:W3CDTF">2026-01-18T04:00:00Z</dcterms:created>
  <dcterms:modified xsi:type="dcterms:W3CDTF">2026-01-18T04:00:00Z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ies>
</file>